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51B" w:rsidRDefault="00AC551B" w:rsidP="00AC551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sz w:val="24"/>
          <w:szCs w:val="24"/>
        </w:rPr>
        <w:t xml:space="preserve">AVALIAÇÃO DA RECEPTIVIDADE </w:t>
      </w:r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DE ESTIGMAS DE </w:t>
      </w:r>
      <w:proofErr w:type="spellStart"/>
      <w:r w:rsidRPr="008725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Manihot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esculenta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spp.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flabellifolia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AC551B" w:rsidRDefault="00AC551B" w:rsidP="00AC55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1B8B" w:rsidRDefault="003A1B8B" w:rsidP="00AC55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551B" w:rsidRDefault="00AC551B" w:rsidP="00AC55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6CE">
        <w:rPr>
          <w:rFonts w:ascii="Times New Roman" w:hAnsi="Times New Roman" w:cs="Times New Roman"/>
          <w:b/>
          <w:bCs/>
          <w:sz w:val="24"/>
          <w:szCs w:val="24"/>
        </w:rPr>
        <w:t>Resumo:</w:t>
      </w:r>
      <w:r w:rsidRPr="006B7B6C">
        <w:rPr>
          <w:rFonts w:ascii="Times New Roman" w:hAnsi="Times New Roman" w:cs="Times New Roman"/>
          <w:sz w:val="24"/>
          <w:szCs w:val="24"/>
        </w:rPr>
        <w:t xml:space="preserve"> Estudos</w:t>
      </w:r>
      <w:r>
        <w:rPr>
          <w:rFonts w:ascii="Times New Roman" w:hAnsi="Times New Roman" w:cs="Times New Roman"/>
          <w:sz w:val="24"/>
          <w:szCs w:val="24"/>
        </w:rPr>
        <w:t xml:space="preserve"> sobre a receptividade do estigma são importantes para subsidiar o melhoramento genético e possibilitar novos cruzamentos em uma espécie. O </w:t>
      </w:r>
      <w:r w:rsidRPr="00ED583B">
        <w:rPr>
          <w:rFonts w:ascii="Times New Roman" w:hAnsi="Times New Roman" w:cs="Times New Roman"/>
          <w:sz w:val="24"/>
          <w:szCs w:val="24"/>
          <w:lang w:eastAsia="pt-BR"/>
        </w:rPr>
        <w:t xml:space="preserve">objetivo deste trabalho foi </w:t>
      </w:r>
      <w:r>
        <w:rPr>
          <w:rFonts w:ascii="Times New Roman" w:hAnsi="Times New Roman" w:cs="Times New Roman"/>
          <w:sz w:val="24"/>
          <w:szCs w:val="24"/>
        </w:rPr>
        <w:t xml:space="preserve">avaliar a receptividade </w:t>
      </w:r>
      <w:r w:rsidRPr="00ED583B">
        <w:rPr>
          <w:rFonts w:ascii="Times New Roman" w:hAnsi="Times New Roman" w:cs="Times New Roman"/>
          <w:sz w:val="24"/>
          <w:szCs w:val="24"/>
        </w:rPr>
        <w:t xml:space="preserve">do estigma de </w:t>
      </w:r>
      <w:proofErr w:type="spellStart"/>
      <w:r w:rsidRPr="00ED583B">
        <w:rPr>
          <w:rFonts w:ascii="Times New Roman" w:hAnsi="Times New Roman" w:cs="Times New Roman"/>
          <w:i/>
          <w:iCs/>
          <w:sz w:val="24"/>
          <w:szCs w:val="24"/>
        </w:rPr>
        <w:t>Manihot</w:t>
      </w:r>
      <w:proofErr w:type="spellEnd"/>
      <w:r w:rsidRPr="00ED58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esculenta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ssp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583B">
        <w:rPr>
          <w:rFonts w:ascii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ED583B">
        <w:rPr>
          <w:rFonts w:ascii="Times New Roman" w:hAnsi="Times New Roman" w:cs="Times New Roman"/>
          <w:i/>
          <w:iCs/>
          <w:sz w:val="24"/>
          <w:szCs w:val="24"/>
        </w:rPr>
        <w:t>abelifollia</w:t>
      </w:r>
      <w:proofErr w:type="spellEnd"/>
      <w:r w:rsidRPr="00ED58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Foram utilizados estigmas do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acessso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332A">
        <w:rPr>
          <w:rFonts w:ascii="Times New Roman" w:hAnsi="Times New Roman" w:cs="Times New Roman"/>
          <w:i/>
          <w:iCs/>
          <w:sz w:val="24"/>
          <w:szCs w:val="24"/>
        </w:rPr>
        <w:t>Manihot</w:t>
      </w:r>
      <w:proofErr w:type="spellEnd"/>
      <w:r w:rsidRPr="004733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7332A">
        <w:rPr>
          <w:rFonts w:ascii="Times New Roman" w:hAnsi="Times New Roman" w:cs="Times New Roman"/>
          <w:i/>
          <w:iCs/>
          <w:sz w:val="24"/>
          <w:szCs w:val="24"/>
        </w:rPr>
        <w:t>esculenta</w:t>
      </w:r>
      <w:proofErr w:type="spellEnd"/>
      <w:r w:rsidRPr="004733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332A">
        <w:rPr>
          <w:rFonts w:ascii="Times New Roman" w:hAnsi="Times New Roman" w:cs="Times New Roman"/>
          <w:sz w:val="24"/>
          <w:szCs w:val="24"/>
        </w:rPr>
        <w:t>spp.</w:t>
      </w:r>
      <w:r w:rsidRPr="004733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47332A">
        <w:rPr>
          <w:rFonts w:ascii="Times New Roman" w:hAnsi="Times New Roman" w:cs="Times New Roman"/>
          <w:i/>
          <w:iCs/>
          <w:sz w:val="24"/>
          <w:szCs w:val="24"/>
        </w:rPr>
        <w:t>flabelifollia</w:t>
      </w:r>
      <w:proofErr w:type="spellEnd"/>
      <w:proofErr w:type="gramEnd"/>
      <w:r w:rsidRPr="004733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(FLA 029V-01) mantido</w:t>
      </w:r>
      <w:r w:rsidRPr="0047332A">
        <w:rPr>
          <w:rFonts w:ascii="Times New Roman" w:hAnsi="Times New Roman" w:cs="Times New Roman"/>
          <w:sz w:val="24"/>
          <w:szCs w:val="24"/>
        </w:rPr>
        <w:t xml:space="preserve"> no Banco de </w:t>
      </w:r>
      <w:proofErr w:type="spellStart"/>
      <w:r w:rsidRPr="0047332A">
        <w:rPr>
          <w:rFonts w:ascii="Times New Roman" w:hAnsi="Times New Roman" w:cs="Times New Roman"/>
          <w:sz w:val="24"/>
          <w:szCs w:val="24"/>
        </w:rPr>
        <w:t>Germoplasma</w:t>
      </w:r>
      <w:proofErr w:type="spellEnd"/>
      <w:r w:rsidRPr="0047332A">
        <w:rPr>
          <w:rFonts w:ascii="Times New Roman" w:hAnsi="Times New Roman" w:cs="Times New Roman"/>
          <w:sz w:val="24"/>
          <w:szCs w:val="24"/>
        </w:rPr>
        <w:t xml:space="preserve"> de Mandioca da Embrapa Mandioca e Fruticultura</w:t>
      </w:r>
      <w:r>
        <w:rPr>
          <w:rFonts w:ascii="Times New Roman" w:hAnsi="Times New Roman" w:cs="Times New Roman"/>
          <w:sz w:val="24"/>
          <w:szCs w:val="24"/>
        </w:rPr>
        <w:t xml:space="preserve">. Para avaliação da receptividade do estigma foram utilizadas flores pistiladas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em três estádios distintos: 1 –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pré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-antese; 2 – antese; e 3 – 24 horas após antese.</w:t>
      </w:r>
      <w:r w:rsidRPr="003C1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a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valiação da receptividade do estigma foi realizada por dois métodos distintos: teste em solução peróxido de hidrogênio 3% proposto por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Zeisler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(1938) e germinação </w:t>
      </w:r>
      <w:r w:rsidRPr="00505B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in vivo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de pólen pela reação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fluocromática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No teste de receptividade de estigma utilizando a solução peróxido de hidrogênio 3% houve o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borbulhamento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na cavidade estigmática indicando a atividade da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peroxidase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em todos os 40 estigmas dos três estádios fisiológico da flor. Houve diferença significativa a 5% </w:t>
      </w:r>
      <w:proofErr w:type="gram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de</w:t>
      </w:r>
      <w:proofErr w:type="gram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gram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probabilidade</w:t>
      </w:r>
      <w:proofErr w:type="gram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pelo teste de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Tukey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no método de germinação </w:t>
      </w:r>
      <w:r w:rsidRPr="00357CE8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in vivo</w:t>
      </w: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Sendo que a maior viabilidade dos grãos de pólen foi observada nos estigmas na antese (90,5%), enquanto que a menor foi observada na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pré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-antese (67,25%). Os estigmas após 24 horas da antese apresentaram alta receptividade com 70,75% de grãos de pólen com tubos polínicos desenvolvidos. A avaliação dos métodos utilizados neste trabalho mostrou que a receptividade do estigma de </w:t>
      </w:r>
      <w:proofErr w:type="spellStart"/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Manihot</w:t>
      </w:r>
      <w:proofErr w:type="spellEnd"/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flabelifollia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é elevada, perdurando por pelo menos 48 horas. </w:t>
      </w:r>
    </w:p>
    <w:p w:rsidR="00AC551B" w:rsidRDefault="00AC551B" w:rsidP="00AC55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A8">
        <w:rPr>
          <w:rFonts w:ascii="Times New Roman" w:hAnsi="Times New Roman" w:cs="Times New Roman"/>
          <w:b/>
          <w:bCs/>
          <w:sz w:val="24"/>
          <w:szCs w:val="24"/>
        </w:rPr>
        <w:t>Palavras-chave:</w:t>
      </w:r>
      <w:r>
        <w:rPr>
          <w:rFonts w:ascii="Times New Roman" w:hAnsi="Times New Roman" w:cs="Times New Roman"/>
          <w:sz w:val="24"/>
          <w:szCs w:val="24"/>
        </w:rPr>
        <w:t xml:space="preserve"> polinização, </w:t>
      </w:r>
      <w:proofErr w:type="spellStart"/>
      <w:r>
        <w:rPr>
          <w:rFonts w:ascii="Times New Roman" w:hAnsi="Times New Roman" w:cs="Times New Roman"/>
          <w:sz w:val="24"/>
          <w:szCs w:val="24"/>
        </w:rPr>
        <w:t>pré</w:t>
      </w:r>
      <w:proofErr w:type="spellEnd"/>
      <w:r>
        <w:rPr>
          <w:rFonts w:ascii="Times New Roman" w:hAnsi="Times New Roman" w:cs="Times New Roman"/>
          <w:sz w:val="24"/>
          <w:szCs w:val="24"/>
        </w:rPr>
        <w:t>-melhoramento, mandioca.</w:t>
      </w:r>
    </w:p>
    <w:p w:rsidR="00AC551B" w:rsidRDefault="00AC551B" w:rsidP="00AC55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51B" w:rsidRDefault="00AC551B" w:rsidP="00AC551B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704F">
        <w:rPr>
          <w:rFonts w:ascii="Times New Roman" w:hAnsi="Times New Roman" w:cs="Times New Roman"/>
          <w:b/>
          <w:bCs/>
          <w:sz w:val="24"/>
          <w:szCs w:val="24"/>
        </w:rPr>
        <w:t>Introdução</w:t>
      </w:r>
    </w:p>
    <w:p w:rsidR="00AC551B" w:rsidRDefault="00AC551B" w:rsidP="00AC551B">
      <w:pPr>
        <w:tabs>
          <w:tab w:val="left" w:pos="709"/>
        </w:tabs>
        <w:autoSpaceDE w:val="0"/>
        <w:spacing w:line="360" w:lineRule="auto"/>
        <w:ind w:firstLine="709"/>
        <w:jc w:val="both"/>
        <w:rPr>
          <w:rFonts w:eastAsia="SimSun"/>
        </w:rPr>
      </w:pPr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A mandioca pertence à classe das Dicotiledôneas, ordem </w:t>
      </w:r>
      <w:proofErr w:type="spellStart"/>
      <w:r w:rsidRPr="004352B8">
        <w:rPr>
          <w:rFonts w:ascii="Times New Roman" w:hAnsi="Times New Roman" w:cs="Times New Roman"/>
          <w:snapToGrid w:val="0"/>
          <w:sz w:val="24"/>
          <w:szCs w:val="24"/>
        </w:rPr>
        <w:t>Euphorbiales</w:t>
      </w:r>
      <w:proofErr w:type="spellEnd"/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, família </w:t>
      </w:r>
      <w:proofErr w:type="spellStart"/>
      <w:r w:rsidRPr="004352B8">
        <w:rPr>
          <w:rFonts w:ascii="Times New Roman" w:hAnsi="Times New Roman" w:cs="Times New Roman"/>
          <w:snapToGrid w:val="0"/>
          <w:sz w:val="24"/>
          <w:szCs w:val="24"/>
        </w:rPr>
        <w:t>Euphorbiaceae</w:t>
      </w:r>
      <w:proofErr w:type="spellEnd"/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 e ao gênero </w:t>
      </w:r>
      <w:proofErr w:type="spellStart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>Manihot</w:t>
      </w:r>
      <w:proofErr w:type="spellEnd"/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. Três subespécies da mandioca são conhecidas, </w:t>
      </w:r>
      <w:proofErr w:type="spellStart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>Manihot</w:t>
      </w:r>
      <w:proofErr w:type="spellEnd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</w:t>
      </w:r>
      <w:proofErr w:type="spellStart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>esculenta</w:t>
      </w:r>
      <w:proofErr w:type="spellEnd"/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4352B8">
        <w:rPr>
          <w:rFonts w:ascii="Times New Roman" w:hAnsi="Times New Roman" w:cs="Times New Roman"/>
          <w:snapToGrid w:val="0"/>
          <w:sz w:val="24"/>
          <w:szCs w:val="24"/>
        </w:rPr>
        <w:t>Crantz</w:t>
      </w:r>
      <w:proofErr w:type="spellEnd"/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proofErr w:type="gramStart"/>
      <w:r w:rsidRPr="004352B8">
        <w:rPr>
          <w:rFonts w:ascii="Times New Roman" w:hAnsi="Times New Roman" w:cs="Times New Roman"/>
          <w:snapToGrid w:val="0"/>
          <w:sz w:val="24"/>
          <w:szCs w:val="24"/>
        </w:rPr>
        <w:t>ssp</w:t>
      </w:r>
      <w:proofErr w:type="spellEnd"/>
      <w:proofErr w:type="gramEnd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. </w:t>
      </w:r>
      <w:proofErr w:type="spellStart"/>
      <w:proofErr w:type="gramStart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>esculenta</w:t>
      </w:r>
      <w:proofErr w:type="spellEnd"/>
      <w:proofErr w:type="gramEnd"/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proofErr w:type="spellStart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>Manihot</w:t>
      </w:r>
      <w:proofErr w:type="spellEnd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</w:t>
      </w:r>
      <w:proofErr w:type="spellStart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>esculenta</w:t>
      </w:r>
      <w:proofErr w:type="spellEnd"/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4352B8">
        <w:rPr>
          <w:rFonts w:ascii="Times New Roman" w:hAnsi="Times New Roman" w:cs="Times New Roman"/>
          <w:snapToGrid w:val="0"/>
          <w:sz w:val="24"/>
          <w:szCs w:val="24"/>
        </w:rPr>
        <w:t>Crantz</w:t>
      </w:r>
      <w:proofErr w:type="spellEnd"/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4352B8">
        <w:rPr>
          <w:rFonts w:ascii="Times New Roman" w:hAnsi="Times New Roman" w:cs="Times New Roman"/>
          <w:snapToGrid w:val="0"/>
          <w:sz w:val="24"/>
          <w:szCs w:val="24"/>
        </w:rPr>
        <w:t>ssp</w:t>
      </w:r>
      <w:proofErr w:type="spellEnd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. </w:t>
      </w:r>
      <w:proofErr w:type="spellStart"/>
      <w:proofErr w:type="gramStart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>flabellifolia</w:t>
      </w:r>
      <w:proofErr w:type="spellEnd"/>
      <w:proofErr w:type="gramEnd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</w:t>
      </w:r>
      <w:r w:rsidRPr="004352B8">
        <w:rPr>
          <w:rFonts w:ascii="Times New Roman" w:hAnsi="Times New Roman" w:cs="Times New Roman"/>
          <w:snapToGrid w:val="0"/>
          <w:sz w:val="24"/>
          <w:szCs w:val="24"/>
        </w:rPr>
        <w:t>(</w:t>
      </w:r>
      <w:proofErr w:type="spellStart"/>
      <w:r w:rsidRPr="004352B8">
        <w:rPr>
          <w:rFonts w:ascii="Times New Roman" w:hAnsi="Times New Roman" w:cs="Times New Roman"/>
          <w:snapToGrid w:val="0"/>
          <w:sz w:val="24"/>
          <w:szCs w:val="24"/>
        </w:rPr>
        <w:t>Pohl</w:t>
      </w:r>
      <w:proofErr w:type="spellEnd"/>
      <w:r w:rsidRPr="004352B8">
        <w:rPr>
          <w:rFonts w:ascii="Times New Roman" w:hAnsi="Times New Roman" w:cs="Times New Roman"/>
          <w:snapToGrid w:val="0"/>
          <w:sz w:val="24"/>
          <w:szCs w:val="24"/>
        </w:rPr>
        <w:t>)</w:t>
      </w:r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</w:t>
      </w:r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e </w:t>
      </w:r>
      <w:proofErr w:type="spellStart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>Manihot</w:t>
      </w:r>
      <w:proofErr w:type="spellEnd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</w:t>
      </w:r>
      <w:proofErr w:type="spellStart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>esculenta</w:t>
      </w:r>
      <w:proofErr w:type="spellEnd"/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4352B8">
        <w:rPr>
          <w:rFonts w:ascii="Times New Roman" w:hAnsi="Times New Roman" w:cs="Times New Roman"/>
          <w:snapToGrid w:val="0"/>
          <w:sz w:val="24"/>
          <w:szCs w:val="24"/>
        </w:rPr>
        <w:t>Crantz</w:t>
      </w:r>
      <w:proofErr w:type="spellEnd"/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4352B8">
        <w:rPr>
          <w:rFonts w:ascii="Times New Roman" w:hAnsi="Times New Roman" w:cs="Times New Roman"/>
          <w:snapToGrid w:val="0"/>
          <w:sz w:val="24"/>
          <w:szCs w:val="24"/>
        </w:rPr>
        <w:t>ssp</w:t>
      </w:r>
      <w:proofErr w:type="spellEnd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. </w:t>
      </w:r>
      <w:proofErr w:type="spellStart"/>
      <w:proofErr w:type="gramStart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>peruviana</w:t>
      </w:r>
      <w:proofErr w:type="spellEnd"/>
      <w:proofErr w:type="gramEnd"/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</w:t>
      </w:r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(Mueller </w:t>
      </w:r>
      <w:proofErr w:type="spellStart"/>
      <w:r w:rsidRPr="004352B8">
        <w:rPr>
          <w:rFonts w:ascii="Times New Roman" w:hAnsi="Times New Roman" w:cs="Times New Roman"/>
          <w:snapToGrid w:val="0"/>
          <w:sz w:val="24"/>
          <w:szCs w:val="24"/>
        </w:rPr>
        <w:t>Argoviensis</w:t>
      </w:r>
      <w:proofErr w:type="spellEnd"/>
      <w:r w:rsidRPr="004352B8">
        <w:rPr>
          <w:rFonts w:ascii="Times New Roman" w:hAnsi="Times New Roman" w:cs="Times New Roman"/>
          <w:snapToGrid w:val="0"/>
          <w:sz w:val="24"/>
          <w:szCs w:val="24"/>
        </w:rPr>
        <w:t>)</w:t>
      </w:r>
      <w:r w:rsidRPr="004352B8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</w:t>
      </w:r>
      <w:r w:rsidRPr="004352B8">
        <w:rPr>
          <w:rFonts w:ascii="Times New Roman" w:hAnsi="Times New Roman" w:cs="Times New Roman"/>
          <w:snapToGrid w:val="0"/>
          <w:sz w:val="24"/>
          <w:szCs w:val="24"/>
        </w:rPr>
        <w:t xml:space="preserve">(ALLEM, 2001), sendo que a primeira é a única cultivada comercialmente (FUKUDA, 2002). </w:t>
      </w:r>
      <w:r w:rsidRPr="004352B8">
        <w:rPr>
          <w:rFonts w:ascii="Times New Roman" w:hAnsi="Times New Roman" w:cs="Times New Roman"/>
        </w:rPr>
        <w:t xml:space="preserve">A utilização de subespécies silvestres de </w:t>
      </w:r>
      <w:proofErr w:type="spellStart"/>
      <w:r w:rsidRPr="004352B8">
        <w:rPr>
          <w:rFonts w:ascii="Times New Roman" w:hAnsi="Times New Roman" w:cs="Times New Roman"/>
          <w:i/>
          <w:iCs/>
        </w:rPr>
        <w:t>Manihot</w:t>
      </w:r>
      <w:proofErr w:type="spellEnd"/>
      <w:r w:rsidRPr="004352B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352B8">
        <w:rPr>
          <w:rFonts w:ascii="Times New Roman" w:hAnsi="Times New Roman" w:cs="Times New Roman"/>
          <w:i/>
          <w:iCs/>
        </w:rPr>
        <w:t>esculenta</w:t>
      </w:r>
      <w:proofErr w:type="spellEnd"/>
      <w:r w:rsidRPr="004352B8">
        <w:rPr>
          <w:rFonts w:ascii="Times New Roman" w:hAnsi="Times New Roman" w:cs="Times New Roman"/>
        </w:rPr>
        <w:t xml:space="preserve"> com a finalidade de incorporar alelos de interesse em variedades de mandioca cultivada é uma forma de reduzir o estreitamento da base genética resultante de seleções de mandioca melhoradas</w:t>
      </w:r>
      <w:r>
        <w:t>.</w:t>
      </w:r>
    </w:p>
    <w:p w:rsidR="00AC551B" w:rsidRPr="004B1ECA" w:rsidRDefault="00AC551B" w:rsidP="00AC551B">
      <w:pPr>
        <w:spacing w:line="360" w:lineRule="auto"/>
        <w:ind w:left="170" w:right="113" w:firstLine="539"/>
        <w:jc w:val="both"/>
        <w:rPr>
          <w:lang w:eastAsia="pt-BR"/>
        </w:rPr>
      </w:pPr>
      <w:r w:rsidRPr="00ED583B">
        <w:rPr>
          <w:rFonts w:ascii="Times New Roman" w:hAnsi="Times New Roman" w:cs="Times New Roman"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sz w:val="24"/>
          <w:szCs w:val="24"/>
        </w:rPr>
        <w:t>lém da viabilidade do pólen, a</w:t>
      </w:r>
      <w:r w:rsidRPr="00ED583B">
        <w:rPr>
          <w:rFonts w:ascii="Times New Roman" w:hAnsi="Times New Roman" w:cs="Times New Roman"/>
          <w:sz w:val="24"/>
          <w:szCs w:val="24"/>
        </w:rPr>
        <w:t xml:space="preserve"> receptividade </w:t>
      </w:r>
      <w:r>
        <w:rPr>
          <w:rFonts w:ascii="Times New Roman" w:hAnsi="Times New Roman" w:cs="Times New Roman"/>
          <w:sz w:val="24"/>
          <w:szCs w:val="24"/>
        </w:rPr>
        <w:t>do estigma pode ser um fator determinante n</w:t>
      </w:r>
      <w:r w:rsidRPr="00ED583B">
        <w:rPr>
          <w:rFonts w:ascii="Times New Roman" w:hAnsi="Times New Roman" w:cs="Times New Roman"/>
          <w:sz w:val="24"/>
          <w:szCs w:val="24"/>
        </w:rPr>
        <w:t>o desenvolvimento de hibridizações contro</w:t>
      </w:r>
      <w:r>
        <w:rPr>
          <w:rFonts w:ascii="Times New Roman" w:hAnsi="Times New Roman" w:cs="Times New Roman"/>
          <w:sz w:val="24"/>
          <w:szCs w:val="24"/>
        </w:rPr>
        <w:t>ladas, assegurando dessa forma</w:t>
      </w:r>
      <w:r w:rsidRPr="00ED583B">
        <w:rPr>
          <w:rFonts w:ascii="Times New Roman" w:hAnsi="Times New Roman" w:cs="Times New Roman"/>
          <w:sz w:val="24"/>
          <w:szCs w:val="24"/>
        </w:rPr>
        <w:t xml:space="preserve"> maior produção de sementes possível em um cruzamento. Apesar da importância da cultura, poucos trabalhos </w:t>
      </w:r>
      <w:r>
        <w:rPr>
          <w:rFonts w:ascii="Times New Roman" w:hAnsi="Times New Roman" w:cs="Times New Roman"/>
          <w:sz w:val="24"/>
          <w:szCs w:val="24"/>
        </w:rPr>
        <w:t>tê</w:t>
      </w:r>
      <w:r w:rsidRPr="00ED583B">
        <w:rPr>
          <w:rFonts w:ascii="Times New Roman" w:hAnsi="Times New Roman" w:cs="Times New Roman"/>
          <w:sz w:val="24"/>
          <w:szCs w:val="24"/>
        </w:rPr>
        <w:t xml:space="preserve">m sido direcionados a estudos da biologia floral da mandioca e espécies do gênero </w:t>
      </w:r>
      <w:proofErr w:type="spellStart"/>
      <w:r w:rsidRPr="00ED583B">
        <w:rPr>
          <w:rFonts w:ascii="Times New Roman" w:hAnsi="Times New Roman" w:cs="Times New Roman"/>
          <w:i/>
          <w:iCs/>
          <w:sz w:val="24"/>
          <w:szCs w:val="24"/>
        </w:rPr>
        <w:t>Manihot</w:t>
      </w:r>
      <w:proofErr w:type="spellEnd"/>
      <w:r w:rsidRPr="00ED583B">
        <w:rPr>
          <w:rFonts w:ascii="Times New Roman" w:hAnsi="Times New Roman" w:cs="Times New Roman"/>
          <w:sz w:val="24"/>
          <w:szCs w:val="24"/>
        </w:rPr>
        <w:t>, caracterizando uma subutilização dos recursos genéticos existentes dentro do gênero e uma lacuna no melhoramento genético da espécie.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583B">
        <w:rPr>
          <w:rFonts w:ascii="Times New Roman" w:hAnsi="Times New Roman" w:cs="Times New Roman"/>
          <w:sz w:val="24"/>
          <w:szCs w:val="24"/>
          <w:lang w:eastAsia="pt-BR"/>
        </w:rPr>
        <w:t xml:space="preserve">Assim, o objetivo deste trabalho foi </w:t>
      </w:r>
      <w:r>
        <w:rPr>
          <w:rFonts w:ascii="Times New Roman" w:hAnsi="Times New Roman" w:cs="Times New Roman"/>
          <w:sz w:val="24"/>
          <w:szCs w:val="24"/>
        </w:rPr>
        <w:t xml:space="preserve">avaliar a receptividade </w:t>
      </w:r>
      <w:r w:rsidRPr="00ED583B">
        <w:rPr>
          <w:rFonts w:ascii="Times New Roman" w:hAnsi="Times New Roman" w:cs="Times New Roman"/>
          <w:sz w:val="24"/>
          <w:szCs w:val="24"/>
        </w:rPr>
        <w:t xml:space="preserve">do estigma de </w:t>
      </w:r>
      <w:proofErr w:type="spellStart"/>
      <w:r w:rsidRPr="00ED583B">
        <w:rPr>
          <w:rFonts w:ascii="Times New Roman" w:hAnsi="Times New Roman" w:cs="Times New Roman"/>
          <w:i/>
          <w:iCs/>
          <w:sz w:val="24"/>
          <w:szCs w:val="24"/>
        </w:rPr>
        <w:t>Manihot</w:t>
      </w:r>
      <w:proofErr w:type="spellEnd"/>
      <w:r w:rsidRPr="00ED58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esculenta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ssp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583B">
        <w:rPr>
          <w:rFonts w:ascii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ED583B">
        <w:rPr>
          <w:rFonts w:ascii="Times New Roman" w:hAnsi="Times New Roman" w:cs="Times New Roman"/>
          <w:i/>
          <w:iCs/>
          <w:sz w:val="24"/>
          <w:szCs w:val="24"/>
        </w:rPr>
        <w:t>abelifollia</w:t>
      </w:r>
      <w:proofErr w:type="spellEnd"/>
      <w:r>
        <w:rPr>
          <w:rFonts w:ascii="Times New Roman" w:hAnsi="Times New Roman" w:cs="Times New Roman"/>
          <w:sz w:val="24"/>
          <w:szCs w:val="24"/>
        </w:rPr>
        <w:t>, usada como modelo neste trabalho, por ser o potencial ancestral da mandioca.</w:t>
      </w:r>
    </w:p>
    <w:p w:rsidR="00AC551B" w:rsidRDefault="00AC551B" w:rsidP="00AC55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551B" w:rsidRDefault="00AC551B" w:rsidP="00AC55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0B61">
        <w:rPr>
          <w:rFonts w:ascii="Times New Roman" w:hAnsi="Times New Roman" w:cs="Times New Roman"/>
          <w:b/>
          <w:bCs/>
          <w:sz w:val="24"/>
          <w:szCs w:val="24"/>
        </w:rPr>
        <w:t>Material e Métodos</w:t>
      </w:r>
    </w:p>
    <w:p w:rsidR="00AC551B" w:rsidRDefault="00AC551B" w:rsidP="00AC551B">
      <w:pPr>
        <w:autoSpaceDE w:val="0"/>
        <w:autoSpaceDN w:val="0"/>
        <w:adjustRightInd w:val="0"/>
        <w:spacing w:line="360" w:lineRule="auto"/>
        <w:ind w:right="-8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material vegetal </w:t>
      </w:r>
      <w:proofErr w:type="gramStart"/>
      <w:r>
        <w:rPr>
          <w:rFonts w:ascii="Times New Roman" w:hAnsi="Times New Roman" w:cs="Times New Roman"/>
          <w:sz w:val="24"/>
          <w:szCs w:val="24"/>
        </w:rPr>
        <w:t>foram utilizados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estigmas de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7332A">
        <w:rPr>
          <w:rFonts w:ascii="Times New Roman" w:hAnsi="Times New Roman" w:cs="Times New Roman"/>
          <w:i/>
          <w:iCs/>
          <w:sz w:val="24"/>
          <w:szCs w:val="24"/>
        </w:rPr>
        <w:t>Manihot</w:t>
      </w:r>
      <w:proofErr w:type="spellEnd"/>
      <w:r w:rsidRPr="004733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7332A">
        <w:rPr>
          <w:rFonts w:ascii="Times New Roman" w:hAnsi="Times New Roman" w:cs="Times New Roman"/>
          <w:i/>
          <w:iCs/>
          <w:sz w:val="24"/>
          <w:szCs w:val="24"/>
        </w:rPr>
        <w:t>esculenta</w:t>
      </w:r>
      <w:proofErr w:type="spellEnd"/>
      <w:r w:rsidRPr="004733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332A">
        <w:rPr>
          <w:rFonts w:ascii="Times New Roman" w:hAnsi="Times New Roman" w:cs="Times New Roman"/>
          <w:sz w:val="24"/>
          <w:szCs w:val="24"/>
        </w:rPr>
        <w:t>spp.</w:t>
      </w:r>
      <w:r w:rsidRPr="004733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47332A">
        <w:rPr>
          <w:rFonts w:ascii="Times New Roman" w:hAnsi="Times New Roman" w:cs="Times New Roman"/>
          <w:i/>
          <w:iCs/>
          <w:sz w:val="24"/>
          <w:szCs w:val="24"/>
        </w:rPr>
        <w:t>flabelifollia</w:t>
      </w:r>
      <w:proofErr w:type="spellEnd"/>
      <w:proofErr w:type="gramEnd"/>
      <w:r w:rsidRPr="004733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(FLA 029V-01), acesso mantido</w:t>
      </w:r>
      <w:r w:rsidRPr="0047332A">
        <w:rPr>
          <w:rFonts w:ascii="Times New Roman" w:hAnsi="Times New Roman" w:cs="Times New Roman"/>
          <w:sz w:val="24"/>
          <w:szCs w:val="24"/>
        </w:rPr>
        <w:t xml:space="preserve"> no Banco de </w:t>
      </w:r>
      <w:proofErr w:type="spellStart"/>
      <w:r w:rsidRPr="0047332A">
        <w:rPr>
          <w:rFonts w:ascii="Times New Roman" w:hAnsi="Times New Roman" w:cs="Times New Roman"/>
          <w:sz w:val="24"/>
          <w:szCs w:val="24"/>
        </w:rPr>
        <w:t>Germoplasma</w:t>
      </w:r>
      <w:proofErr w:type="spellEnd"/>
      <w:r w:rsidRPr="0047332A">
        <w:rPr>
          <w:rFonts w:ascii="Times New Roman" w:hAnsi="Times New Roman" w:cs="Times New Roman"/>
          <w:sz w:val="24"/>
          <w:szCs w:val="24"/>
        </w:rPr>
        <w:t xml:space="preserve"> de Mandioca da Embrapa Mandioca e Fruticultura</w:t>
      </w:r>
      <w:r>
        <w:rPr>
          <w:rFonts w:ascii="Times New Roman" w:hAnsi="Times New Roman" w:cs="Times New Roman"/>
          <w:sz w:val="24"/>
          <w:szCs w:val="24"/>
        </w:rPr>
        <w:t xml:space="preserve">. Para avaliação da receptividade do estigma foram utilizadas flores pistiladas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em três estádios distintos: 1 –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pré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-antese; 2 – antese; e 3 – 24 horas após antese.</w:t>
      </w:r>
      <w:r w:rsidRPr="003C1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a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valiação da receptividade do estigma foi realizada por dois métodos distintos, teste em solução de peróxido de hidrogênio 3% proposto por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Zeisler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(1938) e germinação </w:t>
      </w:r>
      <w:r w:rsidRPr="00505B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in vivo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de pólen pela reação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fluocromática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No teste com peróxido de hidrogênio 3% foram utilizados 40 estigmas para cada estádio floral. Estes foram depositados em placas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onde foi adicionado três gotas de solução de peróxido de hidrogênio 3% e foram avaliados três minutos</w:t>
      </w:r>
      <w:r w:rsidRPr="00FB5B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após. </w:t>
      </w:r>
      <w:proofErr w:type="gramStart"/>
      <w:r>
        <w:rPr>
          <w:rFonts w:ascii="Times New Roman" w:hAnsi="Times New Roman" w:cs="Times New Roman"/>
          <w:sz w:val="24"/>
          <w:szCs w:val="24"/>
        </w:rPr>
        <w:t>Considerou-se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como estigma receptivo aqueles que apresentaram formação de bolhas de oxigênio em sua superfície. No teste por germinação </w:t>
      </w:r>
      <w:r w:rsidRPr="00FB5B9B">
        <w:rPr>
          <w:rFonts w:ascii="Times New Roman" w:hAnsi="Times New Roman" w:cs="Times New Roman"/>
          <w:i/>
          <w:iCs/>
          <w:sz w:val="24"/>
          <w:szCs w:val="24"/>
        </w:rPr>
        <w:t>in vivo</w:t>
      </w:r>
      <w:r>
        <w:rPr>
          <w:rFonts w:ascii="Times New Roman" w:hAnsi="Times New Roman" w:cs="Times New Roman"/>
          <w:sz w:val="24"/>
          <w:szCs w:val="24"/>
        </w:rPr>
        <w:t xml:space="preserve">, foram realizados cruzamentos com pólen fresco do acesso FLA </w:t>
      </w:r>
      <w:proofErr w:type="gramStart"/>
      <w:r>
        <w:rPr>
          <w:rFonts w:ascii="Times New Roman" w:hAnsi="Times New Roman" w:cs="Times New Roman"/>
          <w:sz w:val="24"/>
          <w:szCs w:val="24"/>
        </w:rPr>
        <w:t>029V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-01 e estigmas em diferentes estádios fisiológicos. Após 24 horas, os estigmas foram corados em anilina azul 0,01% e </w:t>
      </w:r>
      <w:proofErr w:type="gramStart"/>
      <w:r>
        <w:rPr>
          <w:rFonts w:ascii="Times New Roman" w:hAnsi="Times New Roman" w:cs="Times New Roman"/>
          <w:sz w:val="24"/>
          <w:szCs w:val="24"/>
        </w:rPr>
        <w:t>levados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ao microscópio de fluorescência, sendo avaliados 1000 grãos de pólen em cada estádio. </w:t>
      </w:r>
      <w:proofErr w:type="gramStart"/>
      <w:r>
        <w:rPr>
          <w:rFonts w:ascii="Times New Roman" w:hAnsi="Times New Roman" w:cs="Times New Roman"/>
          <w:sz w:val="24"/>
          <w:szCs w:val="24"/>
        </w:rPr>
        <w:t>Foi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considerado receptível aqueles estigmas em que ocorreram formação de tubo polínico. O delineamento utilizado foi inteiramente </w:t>
      </w:r>
      <w:proofErr w:type="spellStart"/>
      <w:r>
        <w:rPr>
          <w:rFonts w:ascii="Times New Roman" w:hAnsi="Times New Roman" w:cs="Times New Roman"/>
          <w:sz w:val="24"/>
          <w:szCs w:val="24"/>
        </w:rPr>
        <w:t>casualizado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 quatro repetições. As médias foram comparadas pelo teste de </w:t>
      </w:r>
      <w:proofErr w:type="spellStart"/>
      <w:r>
        <w:rPr>
          <w:rFonts w:ascii="Times New Roman" w:hAnsi="Times New Roman" w:cs="Times New Roman"/>
          <w:sz w:val="24"/>
          <w:szCs w:val="24"/>
        </w:rPr>
        <w:t>Tukey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5% de probabilidade utilizando o programa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SASAgri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2001.</w:t>
      </w:r>
    </w:p>
    <w:p w:rsidR="00AC551B" w:rsidRDefault="00AC551B" w:rsidP="00AC551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C551B" w:rsidRPr="00640564" w:rsidRDefault="00AC551B" w:rsidP="00AC551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2FA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 Discussão</w:t>
      </w:r>
    </w:p>
    <w:p w:rsidR="00AC551B" w:rsidRPr="002E7920" w:rsidRDefault="00AC551B" w:rsidP="00AC551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No teste de receptividade de estigma utilizando a solução peróxido de hidrogênio 3% houve o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borbulhamento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na cavidade estigmática indicando a atividade da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peroxidase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sem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discriminação em todos os 40 estigmas dos três estádios fisiológico da flor: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pré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-antese, antese e 24 horas após antese (Figura 1). Resultado semelhante foi obtido por Brito </w:t>
      </w:r>
      <w:proofErr w:type="gram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et</w:t>
      </w:r>
      <w:proofErr w:type="gram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al (2010) que observaram que todos os estigmas de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manjerição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em diferentes estádios (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pré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-antese, antese e 24 horas após a antese) estavam receptivos utilizando a solução de peróxido de hidrogênio. Já Darlan</w:t>
      </w:r>
      <w:r w:rsidRPr="002E792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2E7920">
        <w:rPr>
          <w:rFonts w:ascii="Times New Roman" w:eastAsia="SimSun" w:hAnsi="Times New Roman" w:cs="Times New Roman"/>
          <w:sz w:val="24"/>
          <w:szCs w:val="24"/>
          <w:lang w:eastAsia="zh-CN"/>
        </w:rPr>
        <w:t>et</w:t>
      </w:r>
      <w:proofErr w:type="gramEnd"/>
      <w:r w:rsidRPr="002E792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al. (2008) </w:t>
      </w:r>
      <w:r w:rsidRPr="002E7920">
        <w:rPr>
          <w:rFonts w:ascii="Times New Roman" w:hAnsi="Times New Roman" w:cs="Times New Roman"/>
          <w:sz w:val="24"/>
          <w:szCs w:val="24"/>
        </w:rPr>
        <w:t xml:space="preserve">observou que atividade enzimática da </w:t>
      </w:r>
      <w:proofErr w:type="spellStart"/>
      <w:r w:rsidRPr="002E7920">
        <w:rPr>
          <w:rFonts w:ascii="Times New Roman" w:hAnsi="Times New Roman" w:cs="Times New Roman"/>
          <w:sz w:val="24"/>
          <w:szCs w:val="24"/>
        </w:rPr>
        <w:t>peroxidase</w:t>
      </w:r>
      <w:proofErr w:type="spellEnd"/>
      <w:r w:rsidRPr="002E7920">
        <w:rPr>
          <w:rFonts w:ascii="Times New Roman" w:hAnsi="Times New Roman" w:cs="Times New Roman"/>
          <w:sz w:val="24"/>
          <w:szCs w:val="24"/>
        </w:rPr>
        <w:t xml:space="preserve"> em estigmas de </w:t>
      </w:r>
      <w:proofErr w:type="spellStart"/>
      <w:r w:rsidRPr="002E7920">
        <w:rPr>
          <w:rFonts w:ascii="Times New Roman" w:hAnsi="Times New Roman" w:cs="Times New Roman"/>
          <w:sz w:val="24"/>
          <w:szCs w:val="24"/>
        </w:rPr>
        <w:t>citrus</w:t>
      </w:r>
      <w:proofErr w:type="spellEnd"/>
      <w:r w:rsidRPr="002E7920">
        <w:rPr>
          <w:rFonts w:ascii="Times New Roman" w:hAnsi="Times New Roman" w:cs="Times New Roman"/>
          <w:sz w:val="24"/>
          <w:szCs w:val="24"/>
        </w:rPr>
        <w:t xml:space="preserve"> foi maior em flores abertas e que </w:t>
      </w:r>
      <w:r>
        <w:rPr>
          <w:rFonts w:ascii="Times New Roman" w:hAnsi="Times New Roman" w:cs="Times New Roman"/>
          <w:sz w:val="24"/>
          <w:szCs w:val="24"/>
        </w:rPr>
        <w:t xml:space="preserve">isso </w:t>
      </w:r>
      <w:r w:rsidRPr="002E7920">
        <w:rPr>
          <w:rFonts w:ascii="Times New Roman" w:hAnsi="Times New Roman" w:cs="Times New Roman"/>
          <w:sz w:val="24"/>
          <w:szCs w:val="24"/>
        </w:rPr>
        <w:t xml:space="preserve">poderia </w:t>
      </w:r>
      <w:r>
        <w:rPr>
          <w:rFonts w:ascii="Times New Roman" w:hAnsi="Times New Roman" w:cs="Times New Roman"/>
          <w:sz w:val="24"/>
          <w:szCs w:val="24"/>
        </w:rPr>
        <w:t>estar correlacionado com a ocorrê</w:t>
      </w:r>
      <w:r w:rsidRPr="002E7920">
        <w:rPr>
          <w:rFonts w:ascii="Times New Roman" w:hAnsi="Times New Roman" w:cs="Times New Roman"/>
          <w:sz w:val="24"/>
          <w:szCs w:val="24"/>
        </w:rPr>
        <w:t>ncia de contam</w:t>
      </w:r>
      <w:r>
        <w:rPr>
          <w:rFonts w:ascii="Times New Roman" w:hAnsi="Times New Roman" w:cs="Times New Roman"/>
          <w:sz w:val="24"/>
          <w:szCs w:val="24"/>
        </w:rPr>
        <w:t>inações por polinização natural</w:t>
      </w:r>
      <w:r w:rsidRPr="002E79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551B" w:rsidRDefault="00AC551B" w:rsidP="00AC55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AC551B" w:rsidRDefault="00AC551B" w:rsidP="00AC5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108700" cy="1605280"/>
            <wp:effectExtent l="19050" t="0" r="6350" b="0"/>
            <wp:docPr id="1" name="Objet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o 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b="-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1B" w:rsidRDefault="00AC551B" w:rsidP="00AC55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Figura 1</w:t>
      </w:r>
      <w:r w:rsidRPr="007D006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Teste de receptividade de estigma do acesso FLA 029-01 utilizando solução de peróxido de hidrogênio 3%. A –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estigma na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pré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-antese; B – estigma na antese; e C – estigma 24 horas após antese. Seta aponta bolhas de oxigênio resultantes da reação estigma-peróxido de hidrogênio.</w:t>
      </w:r>
    </w:p>
    <w:p w:rsidR="00AC551B" w:rsidRDefault="00AC551B" w:rsidP="00AC55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AC551B" w:rsidRDefault="00AC551B" w:rsidP="00AC551B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Houve diferença significativa a 5% de probabilidade pelo teste de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Tukey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no método de germinação </w:t>
      </w:r>
      <w:r w:rsidRPr="00357CE8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in vivo</w:t>
      </w: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Sendo que a maior viabilidade dos grãos de pólen foi observada nos estigmas na antese (90,5%), enquanto que a menor foi observada na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pré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-antese (67,25%). Os estigmas após 24 horas da antese apresentaram alta receptividade com 70,75% de grãos de pólen com tubos polínicos desenvolvidos (Tabela 1). Os resultados em ambos os métodos mostraram que a receptividade do estigma de </w:t>
      </w: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M. </w:t>
      </w:r>
      <w:proofErr w:type="spellStart"/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flabellifolia</w:t>
      </w:r>
      <w:proofErr w:type="spellEnd"/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é longa,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ambrangendo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estádios antes da abertura floral até pelo menos 24 horas após esse momento.</w:t>
      </w:r>
    </w:p>
    <w:p w:rsidR="00AC551B" w:rsidRDefault="00AC551B" w:rsidP="00AC551B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AC551B" w:rsidRPr="00344C57" w:rsidRDefault="00AC551B" w:rsidP="00AC55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Tabela 1.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Porcentagem de tubos polínicos desenvolvidos em estigmas em diferentes estádios fisiológicos.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4889"/>
        <w:gridCol w:w="4890"/>
      </w:tblGrid>
      <w:tr w:rsidR="00AC551B" w:rsidRPr="00B55933" w:rsidTr="00AC551B">
        <w:trPr>
          <w:trHeight w:hRule="exact" w:val="340"/>
        </w:trPr>
        <w:tc>
          <w:tcPr>
            <w:tcW w:w="4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551B" w:rsidRPr="00B55933" w:rsidRDefault="00AC551B" w:rsidP="00AC551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Estád</w:t>
            </w:r>
            <w:r w:rsidRPr="00B5593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io</w:t>
            </w:r>
          </w:p>
        </w:tc>
        <w:tc>
          <w:tcPr>
            <w:tcW w:w="4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551B" w:rsidRPr="00B55933" w:rsidRDefault="00AC551B" w:rsidP="00AC551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B5593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Tubos desenvolvidos (%)</w:t>
            </w:r>
          </w:p>
        </w:tc>
      </w:tr>
      <w:tr w:rsidR="00AC551B" w:rsidRPr="00B55933" w:rsidTr="00AC551B">
        <w:trPr>
          <w:trHeight w:hRule="exact" w:val="340"/>
        </w:trPr>
        <w:tc>
          <w:tcPr>
            <w:tcW w:w="4889" w:type="dxa"/>
            <w:tcBorders>
              <w:top w:val="single" w:sz="4" w:space="0" w:color="auto"/>
            </w:tcBorders>
            <w:vAlign w:val="center"/>
          </w:tcPr>
          <w:p w:rsidR="00AC551B" w:rsidRPr="00B55933" w:rsidRDefault="00AC551B" w:rsidP="00AC551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B5593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Pré</w:t>
            </w:r>
            <w:proofErr w:type="spellEnd"/>
            <w:r w:rsidRPr="00B5593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-antese</w:t>
            </w:r>
          </w:p>
        </w:tc>
        <w:tc>
          <w:tcPr>
            <w:tcW w:w="4890" w:type="dxa"/>
            <w:tcBorders>
              <w:top w:val="single" w:sz="4" w:space="0" w:color="auto"/>
            </w:tcBorders>
            <w:vAlign w:val="center"/>
          </w:tcPr>
          <w:p w:rsidR="00AC551B" w:rsidRPr="00B55933" w:rsidRDefault="00AC551B" w:rsidP="00AC551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B5593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67,25 b</w:t>
            </w:r>
          </w:p>
        </w:tc>
      </w:tr>
      <w:tr w:rsidR="00AC551B" w:rsidRPr="00B55933" w:rsidTr="00AC551B">
        <w:trPr>
          <w:trHeight w:hRule="exact" w:val="340"/>
        </w:trPr>
        <w:tc>
          <w:tcPr>
            <w:tcW w:w="4889" w:type="dxa"/>
            <w:vAlign w:val="center"/>
          </w:tcPr>
          <w:p w:rsidR="00AC551B" w:rsidRPr="00B55933" w:rsidRDefault="00AC551B" w:rsidP="00AC551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B5593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Antese</w:t>
            </w:r>
          </w:p>
        </w:tc>
        <w:tc>
          <w:tcPr>
            <w:tcW w:w="4890" w:type="dxa"/>
            <w:vAlign w:val="center"/>
          </w:tcPr>
          <w:p w:rsidR="00AC551B" w:rsidRPr="00B55933" w:rsidRDefault="00AC551B" w:rsidP="00AC551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B5593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90,5 a</w:t>
            </w:r>
          </w:p>
        </w:tc>
      </w:tr>
      <w:tr w:rsidR="00AC551B" w:rsidRPr="00B55933" w:rsidTr="00AC551B">
        <w:trPr>
          <w:trHeight w:hRule="exact" w:val="340"/>
        </w:trPr>
        <w:tc>
          <w:tcPr>
            <w:tcW w:w="4889" w:type="dxa"/>
            <w:vAlign w:val="center"/>
          </w:tcPr>
          <w:p w:rsidR="00AC551B" w:rsidRPr="00B55933" w:rsidRDefault="00AC551B" w:rsidP="00AC551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B5593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24 horas após a antese</w:t>
            </w:r>
          </w:p>
        </w:tc>
        <w:tc>
          <w:tcPr>
            <w:tcW w:w="4890" w:type="dxa"/>
            <w:vAlign w:val="center"/>
          </w:tcPr>
          <w:p w:rsidR="00AC551B" w:rsidRPr="00B55933" w:rsidRDefault="00AC551B" w:rsidP="00AC551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B5593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70,75 </w:t>
            </w:r>
            <w:proofErr w:type="spellStart"/>
            <w:r w:rsidRPr="00B5593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ab</w:t>
            </w:r>
            <w:proofErr w:type="spellEnd"/>
          </w:p>
        </w:tc>
      </w:tr>
    </w:tbl>
    <w:p w:rsidR="00AC551B" w:rsidRPr="00357CE8" w:rsidRDefault="00AC551B" w:rsidP="00AC551B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Médias seguidas pela mesma letra não difere estatisticamente entre si pelo Teste de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Tukey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 5% de probabilidade.</w:t>
      </w:r>
    </w:p>
    <w:p w:rsidR="00AC551B" w:rsidRDefault="00AC551B" w:rsidP="00AC551B">
      <w:pPr>
        <w:spacing w:after="0" w:line="360" w:lineRule="auto"/>
        <w:ind w:left="2832" w:hanging="283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60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Conclusão</w:t>
      </w:r>
    </w:p>
    <w:p w:rsidR="00AC551B" w:rsidRDefault="00AC551B" w:rsidP="00AC55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A avaliação dos métodos utilizados neste trabalho mostrou que a receptividade do estigma de </w:t>
      </w:r>
      <w:proofErr w:type="spellStart"/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Manihot</w:t>
      </w:r>
      <w:proofErr w:type="spellEnd"/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flabelifollia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é elevada, perdurando por pelo menos 48 horas.</w:t>
      </w:r>
    </w:p>
    <w:p w:rsidR="00AC551B" w:rsidRDefault="00AC551B" w:rsidP="00AC55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51B" w:rsidRDefault="00AC551B" w:rsidP="00AC551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2E2A6D">
        <w:rPr>
          <w:rFonts w:ascii="Times New Roman" w:hAnsi="Times New Roman" w:cs="Times New Roman"/>
          <w:b/>
          <w:bCs/>
          <w:sz w:val="24"/>
          <w:szCs w:val="24"/>
        </w:rPr>
        <w:t>Agradecimentos</w:t>
      </w:r>
    </w:p>
    <w:p w:rsidR="00AC551B" w:rsidRDefault="00AC551B" w:rsidP="00AC551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À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Capes pelo apoio financeiro oferecido à L. J. Vieira.</w:t>
      </w:r>
    </w:p>
    <w:p w:rsidR="00AC551B" w:rsidRDefault="00AC551B" w:rsidP="00AC551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 CNPq pelo apoio financeiro oferecido à T. da S. Oliveira.</w:t>
      </w:r>
    </w:p>
    <w:p w:rsidR="00AC551B" w:rsidRPr="005905F3" w:rsidRDefault="00AC551B" w:rsidP="00AC551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C551B" w:rsidRDefault="00AC551B" w:rsidP="00AC551B">
      <w:pPr>
        <w:spacing w:after="0" w:line="360" w:lineRule="auto"/>
        <w:ind w:left="2124" w:hanging="212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7391">
        <w:rPr>
          <w:rFonts w:ascii="Times New Roman" w:hAnsi="Times New Roman" w:cs="Times New Roman"/>
          <w:b/>
          <w:bCs/>
          <w:sz w:val="24"/>
          <w:szCs w:val="24"/>
        </w:rPr>
        <w:t>Referências Bibliográficas</w:t>
      </w:r>
    </w:p>
    <w:p w:rsidR="00AC551B" w:rsidRPr="00F83BC4" w:rsidRDefault="00AC551B" w:rsidP="00AC551B">
      <w:pPr>
        <w:spacing w:line="36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F83BC4">
        <w:rPr>
          <w:rFonts w:ascii="Times New Roman" w:hAnsi="Times New Roman" w:cs="Times New Roman"/>
        </w:rPr>
        <w:t xml:space="preserve">ALLEM, A.C., 2001. The </w:t>
      </w:r>
      <w:proofErr w:type="spellStart"/>
      <w:r w:rsidRPr="00F83BC4">
        <w:rPr>
          <w:rFonts w:ascii="Times New Roman" w:hAnsi="Times New Roman" w:cs="Times New Roman"/>
        </w:rPr>
        <w:t>primary</w:t>
      </w:r>
      <w:proofErr w:type="spellEnd"/>
      <w:r w:rsidRPr="00F83BC4">
        <w:rPr>
          <w:rFonts w:ascii="Times New Roman" w:hAnsi="Times New Roman" w:cs="Times New Roman"/>
        </w:rPr>
        <w:t xml:space="preserve"> gene pool </w:t>
      </w:r>
      <w:proofErr w:type="spellStart"/>
      <w:r w:rsidRPr="00F83BC4">
        <w:rPr>
          <w:rFonts w:ascii="Times New Roman" w:hAnsi="Times New Roman" w:cs="Times New Roman"/>
        </w:rPr>
        <w:t>of</w:t>
      </w:r>
      <w:proofErr w:type="spellEnd"/>
      <w:r w:rsidRPr="00F83BC4">
        <w:rPr>
          <w:rFonts w:ascii="Times New Roman" w:hAnsi="Times New Roman" w:cs="Times New Roman"/>
        </w:rPr>
        <w:t xml:space="preserve"> cassava (</w:t>
      </w:r>
      <w:proofErr w:type="spellStart"/>
      <w:r w:rsidRPr="002125C3">
        <w:rPr>
          <w:rFonts w:ascii="Times New Roman" w:hAnsi="Times New Roman" w:cs="Times New Roman"/>
          <w:b/>
          <w:bCs/>
        </w:rPr>
        <w:t>Manihot</w:t>
      </w:r>
      <w:proofErr w:type="spellEnd"/>
      <w:r w:rsidRPr="002125C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125C3">
        <w:rPr>
          <w:rFonts w:ascii="Times New Roman" w:hAnsi="Times New Roman" w:cs="Times New Roman"/>
          <w:b/>
          <w:bCs/>
        </w:rPr>
        <w:t>esculenta</w:t>
      </w:r>
      <w:proofErr w:type="spellEnd"/>
      <w:r w:rsidRPr="00F83BC4">
        <w:rPr>
          <w:rFonts w:ascii="Times New Roman" w:hAnsi="Times New Roman" w:cs="Times New Roman"/>
        </w:rPr>
        <w:t xml:space="preserve"> </w:t>
      </w:r>
      <w:proofErr w:type="spellStart"/>
      <w:r w:rsidRPr="00F83BC4">
        <w:rPr>
          <w:rFonts w:ascii="Times New Roman" w:hAnsi="Times New Roman" w:cs="Times New Roman"/>
        </w:rPr>
        <w:t>Crantz</w:t>
      </w:r>
      <w:proofErr w:type="spellEnd"/>
      <w:r w:rsidRPr="00F83BC4">
        <w:rPr>
          <w:rFonts w:ascii="Times New Roman" w:hAnsi="Times New Roman" w:cs="Times New Roman"/>
        </w:rPr>
        <w:t xml:space="preserve"> </w:t>
      </w:r>
      <w:proofErr w:type="spellStart"/>
      <w:r w:rsidRPr="00F83BC4">
        <w:rPr>
          <w:rFonts w:ascii="Times New Roman" w:hAnsi="Times New Roman" w:cs="Times New Roman"/>
        </w:rPr>
        <w:t>subspecies</w:t>
      </w:r>
      <w:proofErr w:type="spellEnd"/>
      <w:r w:rsidRPr="00F83BC4">
        <w:rPr>
          <w:rFonts w:ascii="Times New Roman" w:hAnsi="Times New Roman" w:cs="Times New Roman"/>
        </w:rPr>
        <w:t xml:space="preserve"> </w:t>
      </w:r>
      <w:proofErr w:type="spellStart"/>
      <w:r w:rsidRPr="002125C3">
        <w:rPr>
          <w:rFonts w:ascii="Times New Roman" w:hAnsi="Times New Roman" w:cs="Times New Roman"/>
          <w:i/>
          <w:iCs/>
        </w:rPr>
        <w:t>esculenta</w:t>
      </w:r>
      <w:proofErr w:type="spellEnd"/>
      <w:r w:rsidRPr="00F83BC4">
        <w:rPr>
          <w:rFonts w:ascii="Times New Roman" w:hAnsi="Times New Roman" w:cs="Times New Roman"/>
        </w:rPr>
        <w:t xml:space="preserve">, </w:t>
      </w:r>
      <w:proofErr w:type="spellStart"/>
      <w:r w:rsidRPr="00F83BC4">
        <w:rPr>
          <w:rFonts w:ascii="Times New Roman" w:hAnsi="Times New Roman" w:cs="Times New Roman"/>
          <w:sz w:val="24"/>
          <w:szCs w:val="24"/>
        </w:rPr>
        <w:t>Euphorbiaceae</w:t>
      </w:r>
      <w:proofErr w:type="spellEnd"/>
      <w:r w:rsidRPr="00F83BC4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2125C3">
        <w:rPr>
          <w:rFonts w:ascii="Times New Roman" w:hAnsi="Times New Roman" w:cs="Times New Roman"/>
          <w:b/>
          <w:bCs/>
          <w:sz w:val="24"/>
          <w:szCs w:val="24"/>
        </w:rPr>
        <w:t>Euphytica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v.</w:t>
      </w:r>
      <w:r w:rsidRPr="00F83BC4">
        <w:rPr>
          <w:rFonts w:ascii="Times New Roman" w:hAnsi="Times New Roman" w:cs="Times New Roman"/>
          <w:sz w:val="24"/>
          <w:szCs w:val="24"/>
        </w:rPr>
        <w:t>120, 127–132.</w:t>
      </w:r>
    </w:p>
    <w:p w:rsidR="00AC551B" w:rsidRPr="00634806" w:rsidRDefault="00AC551B" w:rsidP="00AC551B">
      <w:pPr>
        <w:spacing w:line="36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34806">
        <w:rPr>
          <w:rFonts w:ascii="Times New Roman" w:hAnsi="Times New Roman" w:cs="Times New Roman"/>
          <w:snapToGrid w:val="0"/>
          <w:sz w:val="24"/>
          <w:szCs w:val="24"/>
        </w:rPr>
        <w:t xml:space="preserve">FUKUDA, W.M.G.; SILVA, S.O. </w:t>
      </w:r>
      <w:r w:rsidRPr="002125C3">
        <w:rPr>
          <w:rFonts w:ascii="Times New Roman" w:hAnsi="Times New Roman" w:cs="Times New Roman"/>
          <w:snapToGrid w:val="0"/>
          <w:sz w:val="24"/>
          <w:szCs w:val="24"/>
        </w:rPr>
        <w:t>Melhoramento de Mandioca no Brasil</w:t>
      </w:r>
      <w:r w:rsidRPr="00634806">
        <w:rPr>
          <w:rFonts w:ascii="Times New Roman" w:hAnsi="Times New Roman" w:cs="Times New Roman"/>
          <w:snapToGrid w:val="0"/>
          <w:sz w:val="24"/>
          <w:szCs w:val="24"/>
        </w:rPr>
        <w:t xml:space="preserve">. In: </w:t>
      </w:r>
      <w:r w:rsidRPr="002125C3">
        <w:rPr>
          <w:rFonts w:ascii="Times New Roman" w:hAnsi="Times New Roman" w:cs="Times New Roman"/>
          <w:b/>
          <w:bCs/>
          <w:snapToGrid w:val="0"/>
          <w:sz w:val="24"/>
          <w:szCs w:val="24"/>
        </w:rPr>
        <w:t>Agricultura</w:t>
      </w:r>
      <w:r w:rsidRPr="00634806">
        <w:rPr>
          <w:rFonts w:ascii="Times New Roman" w:hAnsi="Times New Roman" w:cs="Times New Roman"/>
          <w:snapToGrid w:val="0"/>
          <w:sz w:val="24"/>
          <w:szCs w:val="24"/>
        </w:rPr>
        <w:t xml:space="preserve">: Tuberosas </w:t>
      </w:r>
      <w:proofErr w:type="spellStart"/>
      <w:r w:rsidRPr="00634806">
        <w:rPr>
          <w:rFonts w:ascii="Times New Roman" w:hAnsi="Times New Roman" w:cs="Times New Roman"/>
          <w:snapToGrid w:val="0"/>
          <w:sz w:val="24"/>
          <w:szCs w:val="24"/>
        </w:rPr>
        <w:t>Amiláceas</w:t>
      </w:r>
      <w:proofErr w:type="spellEnd"/>
      <w:r w:rsidRPr="00634806">
        <w:rPr>
          <w:rFonts w:ascii="Times New Roman" w:hAnsi="Times New Roman" w:cs="Times New Roman"/>
          <w:snapToGrid w:val="0"/>
          <w:sz w:val="24"/>
          <w:szCs w:val="24"/>
        </w:rPr>
        <w:t xml:space="preserve"> Latino Americano, 2ª ed., SP. </w:t>
      </w:r>
      <w:proofErr w:type="gramStart"/>
      <w:r w:rsidRPr="00634806">
        <w:rPr>
          <w:rFonts w:ascii="Times New Roman" w:hAnsi="Times New Roman" w:cs="Times New Roman"/>
          <w:snapToGrid w:val="0"/>
          <w:sz w:val="24"/>
          <w:szCs w:val="24"/>
        </w:rPr>
        <w:t>v.</w:t>
      </w:r>
      <w:proofErr w:type="gramEnd"/>
      <w:r w:rsidRPr="00634806">
        <w:rPr>
          <w:rFonts w:ascii="Times New Roman" w:hAnsi="Times New Roman" w:cs="Times New Roman"/>
          <w:snapToGrid w:val="0"/>
          <w:sz w:val="24"/>
          <w:szCs w:val="24"/>
        </w:rPr>
        <w:t xml:space="preserve"> 2, p. 242-57, 2002.</w:t>
      </w:r>
    </w:p>
    <w:p w:rsidR="00AC551B" w:rsidRPr="00634806" w:rsidRDefault="00AC551B" w:rsidP="00AC551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634806">
        <w:rPr>
          <w:rFonts w:ascii="Times New Roman" w:hAnsi="Times New Roman" w:cs="Times New Roman"/>
          <w:sz w:val="24"/>
          <w:szCs w:val="24"/>
          <w:lang w:eastAsia="pt-BR"/>
        </w:rPr>
        <w:t xml:space="preserve">SAS </w:t>
      </w:r>
      <w:proofErr w:type="spellStart"/>
      <w:r w:rsidRPr="00634806">
        <w:rPr>
          <w:rFonts w:ascii="Times New Roman" w:hAnsi="Times New Roman" w:cs="Times New Roman"/>
          <w:sz w:val="24"/>
          <w:szCs w:val="24"/>
          <w:lang w:eastAsia="pt-BR"/>
        </w:rPr>
        <w:t>Agri</w:t>
      </w:r>
      <w:proofErr w:type="spellEnd"/>
      <w:r w:rsidRPr="00634806">
        <w:rPr>
          <w:rFonts w:ascii="Times New Roman" w:hAnsi="Times New Roman" w:cs="Times New Roman"/>
          <w:sz w:val="24"/>
          <w:szCs w:val="24"/>
          <w:lang w:eastAsia="pt-BR"/>
        </w:rPr>
        <w:t xml:space="preserve">. ALTHAUS, R.A., CANTERI, M.G., GIGLIOTI, E.A. Tecnologia da informação aplicada ao agronegócio e ciências ambientais: sistema para análise e separação de médias pelos métodos de Duncan, </w:t>
      </w:r>
      <w:proofErr w:type="spellStart"/>
      <w:r w:rsidRPr="00634806">
        <w:rPr>
          <w:rFonts w:ascii="Times New Roman" w:hAnsi="Times New Roman" w:cs="Times New Roman"/>
          <w:sz w:val="24"/>
          <w:szCs w:val="24"/>
          <w:lang w:eastAsia="pt-BR"/>
        </w:rPr>
        <w:t>Tukey</w:t>
      </w:r>
      <w:proofErr w:type="spellEnd"/>
      <w:r w:rsidRPr="00634806">
        <w:rPr>
          <w:rFonts w:ascii="Times New Roman" w:hAnsi="Times New Roman" w:cs="Times New Roman"/>
          <w:sz w:val="24"/>
          <w:szCs w:val="24"/>
          <w:lang w:eastAsia="pt-BR"/>
        </w:rPr>
        <w:t xml:space="preserve"> e Scott-</w:t>
      </w:r>
      <w:proofErr w:type="spellStart"/>
      <w:r w:rsidRPr="00634806">
        <w:rPr>
          <w:rFonts w:ascii="Times New Roman" w:hAnsi="Times New Roman" w:cs="Times New Roman"/>
          <w:sz w:val="24"/>
          <w:szCs w:val="24"/>
          <w:lang w:eastAsia="pt-BR"/>
        </w:rPr>
        <w:t>Knott</w:t>
      </w:r>
      <w:proofErr w:type="spellEnd"/>
      <w:r w:rsidRPr="00634806">
        <w:rPr>
          <w:rFonts w:ascii="Times New Roman" w:hAnsi="Times New Roman" w:cs="Times New Roman"/>
          <w:sz w:val="24"/>
          <w:szCs w:val="24"/>
          <w:lang w:eastAsia="pt-BR"/>
        </w:rPr>
        <w:t>.  Anais do X Encontro Anual de Iniciação Científica, Parte 1, Ponta Grossa, p.280-281, 2001.</w:t>
      </w:r>
    </w:p>
    <w:p w:rsidR="00AC551B" w:rsidRPr="00634806" w:rsidRDefault="00AC551B" w:rsidP="00AC551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3BC4">
        <w:rPr>
          <w:rFonts w:ascii="Times New Roman" w:hAnsi="Times New Roman" w:cs="Times New Roman"/>
          <w:sz w:val="24"/>
          <w:szCs w:val="24"/>
          <w:lang w:val="en-US"/>
        </w:rPr>
        <w:t xml:space="preserve">ZEISLER, M. 1938. </w:t>
      </w:r>
      <w:proofErr w:type="spellStart"/>
      <w:r w:rsidRPr="00F83BC4">
        <w:rPr>
          <w:rFonts w:ascii="Times New Roman" w:hAnsi="Times New Roman" w:cs="Times New Roman"/>
          <w:sz w:val="24"/>
          <w:szCs w:val="24"/>
          <w:lang w:val="en-US"/>
        </w:rPr>
        <w:t>Über</w:t>
      </w:r>
      <w:proofErr w:type="spellEnd"/>
      <w:r w:rsidRPr="00F83BC4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F83BC4">
        <w:rPr>
          <w:rFonts w:ascii="Times New Roman" w:hAnsi="Times New Roman" w:cs="Times New Roman"/>
          <w:sz w:val="24"/>
          <w:szCs w:val="24"/>
          <w:lang w:val="en-US"/>
        </w:rPr>
        <w:t>abgrenzung</w:t>
      </w:r>
      <w:proofErr w:type="spellEnd"/>
      <w:r w:rsidRPr="00F83BC4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F83BC4">
        <w:rPr>
          <w:rFonts w:ascii="Times New Roman" w:hAnsi="Times New Roman" w:cs="Times New Roman"/>
          <w:sz w:val="24"/>
          <w:szCs w:val="24"/>
          <w:lang w:val="en-US"/>
        </w:rPr>
        <w:t>igentlichen</w:t>
      </w:r>
      <w:proofErr w:type="spellEnd"/>
      <w:r w:rsidRPr="00F83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83BC4">
        <w:rPr>
          <w:rFonts w:ascii="Times New Roman" w:hAnsi="Times New Roman" w:cs="Times New Roman"/>
          <w:sz w:val="24"/>
          <w:szCs w:val="24"/>
          <w:lang w:val="en-US"/>
        </w:rPr>
        <w:t>narbenfläche</w:t>
      </w:r>
      <w:proofErr w:type="spellEnd"/>
      <w:r w:rsidRPr="00F83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83BC4">
        <w:rPr>
          <w:rFonts w:ascii="Times New Roman" w:hAnsi="Times New Roman" w:cs="Times New Roman"/>
          <w:sz w:val="24"/>
          <w:szCs w:val="24"/>
          <w:lang w:val="en-US"/>
        </w:rPr>
        <w:t>mit</w:t>
      </w:r>
      <w:proofErr w:type="spellEnd"/>
      <w:r w:rsidRPr="00F83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83BC4">
        <w:rPr>
          <w:rFonts w:ascii="Times New Roman" w:hAnsi="Times New Roman" w:cs="Times New Roman"/>
          <w:sz w:val="24"/>
          <w:szCs w:val="24"/>
          <w:lang w:val="en-US"/>
        </w:rPr>
        <w:t>hilf</w:t>
      </w:r>
      <w:proofErr w:type="spellEnd"/>
      <w:r w:rsidRPr="00F83BC4">
        <w:rPr>
          <w:rFonts w:ascii="Times New Roman" w:hAnsi="Times New Roman" w:cs="Times New Roman"/>
          <w:sz w:val="24"/>
          <w:szCs w:val="24"/>
          <w:lang w:val="en-US"/>
        </w:rPr>
        <w:t xml:space="preserve"> von </w:t>
      </w:r>
      <w:proofErr w:type="spellStart"/>
      <w:r w:rsidRPr="00F83BC4">
        <w:rPr>
          <w:rFonts w:ascii="Times New Roman" w:hAnsi="Times New Roman" w:cs="Times New Roman"/>
          <w:sz w:val="24"/>
          <w:szCs w:val="24"/>
          <w:lang w:val="en-US"/>
        </w:rPr>
        <w:t>reaktionen</w:t>
      </w:r>
      <w:proofErr w:type="spellEnd"/>
      <w:r w:rsidRPr="00F83BC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34806">
        <w:rPr>
          <w:rFonts w:ascii="Times New Roman" w:hAnsi="Times New Roman" w:cs="Times New Roman"/>
          <w:b/>
          <w:bCs/>
          <w:sz w:val="24"/>
          <w:szCs w:val="24"/>
        </w:rPr>
        <w:t>Beih</w:t>
      </w:r>
      <w:proofErr w:type="spellEnd"/>
      <w:r w:rsidRPr="0063480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634806">
        <w:rPr>
          <w:rFonts w:ascii="Times New Roman" w:hAnsi="Times New Roman" w:cs="Times New Roman"/>
          <w:b/>
          <w:bCs/>
          <w:sz w:val="24"/>
          <w:szCs w:val="24"/>
        </w:rPr>
        <w:t>Bot</w:t>
      </w:r>
      <w:proofErr w:type="spellEnd"/>
      <w:r w:rsidRPr="006348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34806">
        <w:rPr>
          <w:rFonts w:ascii="Times New Roman" w:hAnsi="Times New Roman" w:cs="Times New Roman"/>
          <w:b/>
          <w:bCs/>
          <w:sz w:val="24"/>
          <w:szCs w:val="24"/>
        </w:rPr>
        <w:t>Zentralbl</w:t>
      </w:r>
      <w:proofErr w:type="spellEnd"/>
      <w:proofErr w:type="gramStart"/>
      <w:r w:rsidRPr="00634806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634806">
        <w:rPr>
          <w:rFonts w:ascii="Times New Roman" w:hAnsi="Times New Roman" w:cs="Times New Roman"/>
          <w:sz w:val="24"/>
          <w:szCs w:val="24"/>
        </w:rPr>
        <w:t xml:space="preserve"> v. 58a, p. 308-318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AC551B" w:rsidRPr="00634806" w:rsidSect="00D20F68">
      <w:headerReference w:type="default" r:id="rId8"/>
      <w:pgSz w:w="11906" w:h="16838"/>
      <w:pgMar w:top="1418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3DA" w:rsidRDefault="00C633DA">
      <w:pPr>
        <w:spacing w:after="0" w:line="240" w:lineRule="auto"/>
      </w:pPr>
      <w:r>
        <w:separator/>
      </w:r>
    </w:p>
  </w:endnote>
  <w:endnote w:type="continuationSeparator" w:id="0">
    <w:p w:rsidR="00C633DA" w:rsidRDefault="00C63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3DA" w:rsidRDefault="00C633DA">
      <w:pPr>
        <w:spacing w:after="0" w:line="240" w:lineRule="auto"/>
      </w:pPr>
      <w:r>
        <w:separator/>
      </w:r>
    </w:p>
  </w:footnote>
  <w:footnote w:type="continuationSeparator" w:id="0">
    <w:p w:rsidR="00C633DA" w:rsidRDefault="00C63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" w:type="dxa"/>
      <w:tblLayout w:type="fixed"/>
      <w:tblLook w:val="00A0" w:firstRow="1" w:lastRow="0" w:firstColumn="1" w:lastColumn="0" w:noHBand="0" w:noVBand="0"/>
    </w:tblPr>
    <w:tblGrid>
      <w:gridCol w:w="2978"/>
      <w:gridCol w:w="7229"/>
    </w:tblGrid>
    <w:tr w:rsidR="003F150A" w:rsidRPr="00CA2313">
      <w:trPr>
        <w:trHeight w:val="1556"/>
      </w:trPr>
      <w:tc>
        <w:tcPr>
          <w:tcW w:w="2978" w:type="dxa"/>
        </w:tcPr>
        <w:p w:rsidR="003F150A" w:rsidRPr="00CA2313" w:rsidRDefault="003A1B8B" w:rsidP="00CA2313">
          <w:pPr>
            <w:pStyle w:val="Cabealho"/>
            <w:tabs>
              <w:tab w:val="clear" w:pos="4818"/>
              <w:tab w:val="center" w:pos="3969"/>
            </w:tabs>
            <w:rPr>
              <w:rFonts w:ascii="Arial Black" w:hAnsi="Arial Black" w:cs="Arial Black"/>
              <w:color w:val="002060"/>
              <w:sz w:val="22"/>
              <w:szCs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501650</wp:posOffset>
                    </wp:positionH>
                    <wp:positionV relativeFrom="paragraph">
                      <wp:posOffset>-280035</wp:posOffset>
                    </wp:positionV>
                    <wp:extent cx="1185545" cy="1245870"/>
                    <wp:effectExtent l="6350" t="5715" r="10795" b="6350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85545" cy="12458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F150A" w:rsidRDefault="003A1B8B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992505" cy="992505"/>
                                      <wp:effectExtent l="0" t="0" r="0" b="0"/>
                                      <wp:docPr id="3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92505" cy="9925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39.5pt;margin-top:-22.05pt;width:93.35pt;height:98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" strokecolor="white">
                    <v:textbox style="mso-fit-shape-to-text:t">
                      <w:txbxContent>
                        <w:p w:rsidR="003F150A" w:rsidRDefault="003A1B8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992505" cy="992505"/>
                                <wp:effectExtent l="0" t="0" r="0" b="0"/>
                                <wp:docPr id="3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2505" cy="9925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7229" w:type="dxa"/>
        </w:tcPr>
        <w:p w:rsidR="003F150A" w:rsidRPr="00CA2313" w:rsidRDefault="00EA6066" w:rsidP="00CA2313">
          <w:pPr>
            <w:pStyle w:val="Cabealho"/>
            <w:jc w:val="center"/>
            <w:rPr>
              <w:rFonts w:ascii="Arial Black" w:hAnsi="Arial Black" w:cs="Arial Black"/>
              <w:color w:val="002060"/>
              <w:sz w:val="22"/>
              <w:szCs w:val="22"/>
            </w:rPr>
          </w:pPr>
        </w:p>
      </w:tc>
    </w:tr>
  </w:tbl>
  <w:p w:rsidR="003F150A" w:rsidRPr="00CA2313" w:rsidRDefault="00EA606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1B"/>
    <w:rsid w:val="003A1B8B"/>
    <w:rsid w:val="007A23C8"/>
    <w:rsid w:val="00AC551B"/>
    <w:rsid w:val="00C633DA"/>
    <w:rsid w:val="00EA6066"/>
    <w:rsid w:val="00F8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51B"/>
    <w:rPr>
      <w:rFonts w:ascii="Calibri" w:eastAsia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99"/>
    <w:qFormat/>
    <w:rsid w:val="00AC551B"/>
    <w:pPr>
      <w:spacing w:after="0" w:line="240" w:lineRule="auto"/>
    </w:pPr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iPriority w:val="99"/>
    <w:semiHidden/>
    <w:rsid w:val="00AC551B"/>
    <w:pPr>
      <w:widowControl w:val="0"/>
      <w:suppressLineNumbers/>
      <w:tabs>
        <w:tab w:val="center" w:pos="4818"/>
        <w:tab w:val="right" w:pos="9637"/>
      </w:tabs>
      <w:suppressAutoHyphens/>
      <w:spacing w:after="0" w:line="240" w:lineRule="auto"/>
    </w:pPr>
    <w:rPr>
      <w:rFonts w:ascii="Nimbus Roman No9 L" w:hAnsi="Nimbus Roman No9 L" w:cs="Nimbus Roman No9 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AC551B"/>
    <w:rPr>
      <w:rFonts w:ascii="Nimbus Roman No9 L" w:eastAsia="Calibri" w:hAnsi="Nimbus Roman No9 L" w:cs="Nimbus Roman No9 L"/>
      <w:sz w:val="24"/>
      <w:szCs w:val="24"/>
      <w:lang w:eastAsia="pt-BR"/>
    </w:rPr>
  </w:style>
  <w:style w:type="paragraph" w:customStyle="1" w:styleId="Padro">
    <w:name w:val="Padrão"/>
    <w:uiPriority w:val="99"/>
    <w:rsid w:val="00AC551B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606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51B"/>
    <w:rPr>
      <w:rFonts w:ascii="Calibri" w:eastAsia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99"/>
    <w:qFormat/>
    <w:rsid w:val="00AC551B"/>
    <w:pPr>
      <w:spacing w:after="0" w:line="240" w:lineRule="auto"/>
    </w:pPr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iPriority w:val="99"/>
    <w:semiHidden/>
    <w:rsid w:val="00AC551B"/>
    <w:pPr>
      <w:widowControl w:val="0"/>
      <w:suppressLineNumbers/>
      <w:tabs>
        <w:tab w:val="center" w:pos="4818"/>
        <w:tab w:val="right" w:pos="9637"/>
      </w:tabs>
      <w:suppressAutoHyphens/>
      <w:spacing w:after="0" w:line="240" w:lineRule="auto"/>
    </w:pPr>
    <w:rPr>
      <w:rFonts w:ascii="Nimbus Roman No9 L" w:hAnsi="Nimbus Roman No9 L" w:cs="Nimbus Roman No9 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AC551B"/>
    <w:rPr>
      <w:rFonts w:ascii="Nimbus Roman No9 L" w:eastAsia="Calibri" w:hAnsi="Nimbus Roman No9 L" w:cs="Nimbus Roman No9 L"/>
      <w:sz w:val="24"/>
      <w:szCs w:val="24"/>
      <w:lang w:eastAsia="pt-BR"/>
    </w:rPr>
  </w:style>
  <w:style w:type="paragraph" w:customStyle="1" w:styleId="Padro">
    <w:name w:val="Padrão"/>
    <w:uiPriority w:val="99"/>
    <w:rsid w:val="00AC551B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60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1194</Words>
  <Characters>6452</Characters>
  <Application>Microsoft Office Word</Application>
  <DocSecurity>4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LEO&amp;LÍVIA</dc:creator>
  <cp:lastModifiedBy>Embrapa</cp:lastModifiedBy>
  <cp:revision>2</cp:revision>
  <dcterms:created xsi:type="dcterms:W3CDTF">2012-11-19T18:10:00Z</dcterms:created>
  <dcterms:modified xsi:type="dcterms:W3CDTF">2012-11-19T18:10:00Z</dcterms:modified>
</cp:coreProperties>
</file>