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bookmarkStart w:id="0" w:name="_GoBack"/>
      <w:bookmarkEnd w:id="0"/>
      <w:r>
        <w:rPr>
          <w:rFonts w:ascii="Times New Roman" w:cs="Times New Roman" w:hAnsi="Times New Roman"/>
          <w:b/>
          <w:bCs/>
          <w:sz w:val="24"/>
          <w:szCs w:val="24"/>
        </w:rPr>
        <w:t xml:space="preserve">CARACTERIZAÇÃO DE CEPAS DE 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 xml:space="preserve">Corynebacterium pseudotuberculosis ovis </w:t>
      </w:r>
      <w:r>
        <w:rPr>
          <w:rFonts w:ascii="Times New Roman" w:cs="Times New Roman" w:hAnsi="Times New Roman"/>
          <w:b/>
          <w:bCs/>
          <w:sz w:val="24"/>
          <w:szCs w:val="24"/>
        </w:rPr>
        <w:t>ISOLADAS</w:t>
      </w:r>
      <w:r>
        <w:rPr>
          <w:rFonts w:ascii="Times New Roman" w:cs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DE OVINOS E CAPRINOS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bCs/>
          <w:sz w:val="24"/>
          <w:szCs w:val="24"/>
        </w:rPr>
        <w:t>Patrícia Rodrigues de Melo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>1</w:t>
      </w:r>
      <w:r>
        <w:rPr>
          <w:rFonts w:ascii="Times New Roman" w:cs="Times New Roman" w:hAnsi="Times New Roman"/>
          <w:bCs/>
          <w:sz w:val="24"/>
          <w:szCs w:val="24"/>
        </w:rPr>
        <w:t xml:space="preserve">, </w:t>
      </w:r>
      <w:r>
        <w:rPr>
          <w:rFonts w:ascii="Times New Roman" w:cs="Times New Roman" w:hAnsi="Times New Roman"/>
          <w:bCs/>
          <w:sz w:val="24"/>
          <w:szCs w:val="24"/>
          <w:u w:val="single"/>
        </w:rPr>
        <w:t>Cleber Eduardo Galvão Carvalho</w:t>
      </w:r>
      <w:r>
        <w:rPr>
          <w:rFonts w:ascii="Times New Roman" w:cs="Times New Roman" w:hAnsi="Times New Roman"/>
          <w:bCs/>
          <w:sz w:val="24"/>
          <w:szCs w:val="24"/>
          <w:u w:val="single"/>
          <w:vertAlign w:val="superscript"/>
        </w:rPr>
        <w:t>2</w:t>
      </w:r>
      <w:r>
        <w:rPr>
          <w:rFonts w:ascii="Times New Roman" w:cs="Times New Roman" w:hAnsi="Times New Roman"/>
          <w:bCs/>
          <w:sz w:val="24"/>
          <w:szCs w:val="24"/>
        </w:rPr>
        <w:t>, Gisele Braziliano de Almeida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bCs/>
          <w:sz w:val="24"/>
          <w:szCs w:val="24"/>
        </w:rPr>
        <w:t>, Cleber Oliveira Soares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>4</w:t>
      </w:r>
      <w:r>
        <w:rPr>
          <w:rFonts w:ascii="Times New Roman" w:cs="Times New Roman" w:hAnsi="Times New Roman"/>
          <w:bCs/>
          <w:sz w:val="24"/>
          <w:szCs w:val="24"/>
        </w:rPr>
        <w:t>, Grácia Maria Soares Rosinha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>4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bCs/>
          <w:sz w:val="24"/>
          <w:szCs w:val="24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bCs/>
          <w:sz w:val="24"/>
          <w:szCs w:val="24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eastAsia="Times New Roman" w:hAnsi="Times New Roman"/>
          <w:sz w:val="24"/>
          <w:szCs w:val="24"/>
        </w:rPr>
        <w:t xml:space="preserve">Aluna de mestrado do programa de pós-graduação em Ciência Animal da Universidade Federal de Mato Grosso do Sul  (UFMS), 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/>
          <w:sz w:val="24"/>
          <w:szCs w:val="24"/>
        </w:rPr>
        <w:t xml:space="preserve">Aluno de doutorado do programa de pós-graduação em Ciência Animal da Universidade Federal de Mato Grosso do Sul  (UFMS), 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3 </w:t>
      </w:r>
      <w:r>
        <w:rPr>
          <w:rFonts w:ascii="Times New Roman" w:eastAsia="Times New Roman" w:hAnsi="Times New Roman"/>
          <w:sz w:val="24"/>
          <w:szCs w:val="24"/>
        </w:rPr>
        <w:t xml:space="preserve">Professora da Universidade Católica Dom Bosco (UCDB), 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4 </w:t>
      </w:r>
      <w:r>
        <w:rPr>
          <w:rFonts w:ascii="Times New Roman" w:eastAsia="Times New Roman" w:hAnsi="Times New Roman"/>
          <w:sz w:val="24"/>
          <w:szCs w:val="24"/>
        </w:rPr>
        <w:t>Pesquisadores da Embrapa Gado de Corte – Sanidade Animal – Laboratório de Engenharia Genética Animal. E-mail: galvao.vet.ce@gmail.com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  <w:color w:val="000000"/>
          <w:sz w:val="24"/>
          <w:szCs w:val="24"/>
        </w:rPr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  <w:color w:val="000000"/>
          <w:sz w:val="24"/>
          <w:szCs w:val="24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iCs/>
          <w:color w:val="000000"/>
          <w:sz w:val="24"/>
          <w:szCs w:val="24"/>
        </w:rPr>
        <w:t>O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bjetivou-se neste estudo a caracterização bioquímica, genotípica e análise de virulência e patogenicidade de amostras isoladas de 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>C. pseudotuberculosis</w:t>
      </w:r>
      <w:r>
        <w:rPr>
          <w:rFonts w:ascii="Times New Roman" w:cs="Times New Roman" w:hAnsi="Times New Roman"/>
          <w:color w:val="000000"/>
          <w:sz w:val="24"/>
          <w:szCs w:val="24"/>
        </w:rPr>
        <w:t>. Foram utilizadas cinco amostras: CBO (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>Corynebacterium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Ovino) 2512, CBO 28033, CBC (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>Corynebacterium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Caprinos) 70D, CBC 118, CBC NPC e as amostras controle 1002 (Linfovac) e 00512 (Fiocruz). Para a identificação bioquímica, utilizou-se o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 xml:space="preserve">kit 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>APIcoryne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(Bio Merieux-França)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cs="Times New Roman" w:hAnsi="Times New Roman"/>
          <w:iCs/>
          <w:color w:val="000000"/>
          <w:sz w:val="24"/>
          <w:szCs w:val="24"/>
        </w:rPr>
        <w:t xml:space="preserve">A caracterização genotípica foi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realizada pelo teste de PCR-RFLP para o gene 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 xml:space="preserve">rpoB,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tratado com as enzimas 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>Mse</w:t>
      </w:r>
      <w:r>
        <w:rPr>
          <w:rFonts w:ascii="Times New Roman" w:cs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 xml:space="preserve"> e Stu</w:t>
      </w:r>
      <w:r>
        <w:rPr>
          <w:rFonts w:ascii="Times New Roman" w:cs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As amostras foram</w:t>
      </w:r>
      <w:r>
        <w:rPr>
          <w:rFonts w:ascii="Times New Roman" w:cs="Times New Roman" w:hAnsi="Times New Roman"/>
          <w:iCs/>
          <w:color w:val="000000"/>
          <w:sz w:val="24"/>
          <w:szCs w:val="24"/>
        </w:rPr>
        <w:t xml:space="preserve"> avaliadas quanto à virulência e patogenicidade, em camundongos BALB/c inoculados com 1x10</w:t>
      </w:r>
      <w:r>
        <w:rPr>
          <w:rFonts w:ascii="Times New Roman" w:cs="Times New Roman" w:hAnsi="Times New Roman"/>
          <w:iCs/>
          <w:color w:val="000000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iCs/>
          <w:color w:val="000000"/>
          <w:sz w:val="24"/>
          <w:szCs w:val="24"/>
        </w:rPr>
        <w:t>, 1x10</w:t>
      </w:r>
      <w:r>
        <w:rPr>
          <w:rFonts w:ascii="Times New Roman" w:cs="Times New Roman" w:hAnsi="Times New Roman"/>
          <w:iCs/>
          <w:color w:val="000000"/>
          <w:sz w:val="24"/>
          <w:szCs w:val="24"/>
          <w:vertAlign w:val="superscript"/>
        </w:rPr>
        <w:t>4</w:t>
      </w:r>
      <w:r>
        <w:rPr>
          <w:rFonts w:ascii="Times New Roman" w:cs="Times New Roman" w:hAnsi="Times New Roman"/>
          <w:iCs/>
          <w:color w:val="000000"/>
          <w:sz w:val="24"/>
          <w:szCs w:val="24"/>
        </w:rPr>
        <w:t>, 1x10</w:t>
      </w:r>
      <w:r>
        <w:rPr>
          <w:rFonts w:ascii="Times New Roman" w:cs="Times New Roman" w:hAnsi="Times New Roman"/>
          <w:iCs/>
          <w:color w:val="000000"/>
          <w:sz w:val="24"/>
          <w:szCs w:val="24"/>
          <w:vertAlign w:val="superscript"/>
        </w:rPr>
        <w:t>5</w:t>
      </w:r>
      <w:r>
        <w:rPr>
          <w:rFonts w:ascii="Times New Roman" w:cs="Times New Roman" w:hAnsi="Times New Roman"/>
          <w:iCs/>
          <w:color w:val="000000"/>
          <w:sz w:val="24"/>
          <w:szCs w:val="24"/>
        </w:rPr>
        <w:t xml:space="preserve"> e 1x10</w:t>
      </w:r>
      <w:r>
        <w:rPr>
          <w:rFonts w:ascii="Times New Roman" w:cs="Times New Roman" w:hAnsi="Times New Roman"/>
          <w:iCs/>
          <w:color w:val="000000"/>
          <w:sz w:val="24"/>
          <w:szCs w:val="24"/>
          <w:vertAlign w:val="superscript"/>
        </w:rPr>
        <w:t>6</w:t>
      </w:r>
      <w:r>
        <w:rPr>
          <w:rFonts w:ascii="Times New Roman" w:cs="Times New Roman" w:hAnsi="Times New Roman"/>
          <w:iCs/>
          <w:color w:val="000000"/>
          <w:sz w:val="24"/>
          <w:szCs w:val="24"/>
        </w:rPr>
        <w:t xml:space="preserve"> Unidades Formadoras de Colônias por mL (UFC/mL).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A caracterização bioquímica confirmou as amostras como sendo 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 xml:space="preserve">C. pseudotuberculosis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biovar 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>ovis</w:t>
      </w:r>
      <w:r>
        <w:rPr>
          <w:rFonts w:ascii="Times New Roman" w:cs="Times New Roman" w:hAnsi="Times New Roman"/>
          <w:color w:val="000000"/>
          <w:sz w:val="24"/>
          <w:szCs w:val="24"/>
        </w:rPr>
        <w:t>.  Para a caracterização genotípica o gene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 xml:space="preserve"> rpoB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clivado com 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>Mse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I e 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>Stu</w:t>
      </w:r>
      <w:r>
        <w:rPr>
          <w:rFonts w:ascii="Times New Roman" w:cs="Times New Roman" w:hAnsi="Times New Roman"/>
          <w:color w:val="000000"/>
          <w:sz w:val="24"/>
          <w:szCs w:val="24"/>
        </w:rPr>
        <w:t>I, gerou fragmentos de 98 e 348, 191 e 255 pb respectivamente. Indicando que não houve variabilidade genotípica entre as amostras. A análise de virulência revelou as amostras CBO 2512 e CBO 28033 inoculadas com 1x10</w:t>
      </w:r>
      <w:r>
        <w:rPr>
          <w:rFonts w:ascii="Times New Roman" w:cs="Times New Roman" w:hAnsi="Times New Roman"/>
          <w:color w:val="000000"/>
          <w:sz w:val="24"/>
          <w:szCs w:val="24"/>
          <w:vertAlign w:val="superscript"/>
        </w:rPr>
        <w:t>6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UFC/mL nos camundongos, como mais virulentas, pois causaram 100% de morte. No teste de patogenicidade, conclui-se que as amostras CBC 70D, CBC NPC, CBC 118, são mais patogênicas que virulentas. A análise anatomopatológica evidenciou a formação de abscessos no fígado, baço, intestino, estômago e rim. Histologicamente caracterizam-se por uma área central de necrose, área de infiltrado inflamatório, e uma camada de tecido conjuntivo fibroso, e presença de microabscessos. Concluindo que este trabalho bem caracterizou as amostras de 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 xml:space="preserve">C. pseudotuberculosis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biovar 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>ovis</w:t>
      </w:r>
      <w:r>
        <w:rPr>
          <w:rFonts w:ascii="Times New Roman" w:cs="Times New Roman" w:hAnsi="Times New Roman"/>
          <w:color w:val="000000"/>
          <w:sz w:val="24"/>
          <w:szCs w:val="24"/>
        </w:rPr>
        <w:t>, e baseará pesquisas futuras, envolvendo a análise genômica, testes diagnósticos, e vacinas para a Linfadenite Caseosa.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Palavras chave</w:t>
      </w:r>
      <w:r>
        <w:rPr>
          <w:rFonts w:ascii="Times New Roman" w:cs="Times New Roman" w:hAnsi="Times New Roman"/>
          <w:sz w:val="24"/>
          <w:szCs w:val="24"/>
        </w:rPr>
        <w:t xml:space="preserve">: linfadenite caseosa, </w:t>
      </w:r>
      <w:r>
        <w:rPr>
          <w:rFonts w:ascii="Times New Roman" w:cs="Times New Roman" w:hAnsi="Times New Roman"/>
          <w:i/>
          <w:sz w:val="24"/>
          <w:szCs w:val="24"/>
        </w:rPr>
        <w:t xml:space="preserve">Corynebacterium pseudotuberculosis, </w:t>
      </w:r>
      <w:r>
        <w:rPr>
          <w:rFonts w:ascii="Times New Roman" w:cs="Times New Roman" w:hAnsi="Times New Roman"/>
          <w:sz w:val="24"/>
          <w:szCs w:val="24"/>
        </w:rPr>
        <w:t xml:space="preserve">virulência, patogenicidade, </w:t>
      </w:r>
      <w:bookmarkStart w:id="1" w:name="__DdeLink__224_1360880649"/>
      <w:r>
        <w:rPr>
          <w:rFonts w:ascii="Times New Roman" w:cs="Times New Roman" w:hAnsi="Times New Roman"/>
          <w:sz w:val="24"/>
          <w:szCs w:val="24"/>
        </w:rPr>
        <w:t>PCR-RFLP</w:t>
      </w:r>
      <w:bookmarkEnd w:id="1"/>
      <w:r>
        <w:rPr>
          <w:rFonts w:ascii="Times New Roman" w:cs="Times New Roman" w:hAnsi="Times New Roman"/>
          <w:sz w:val="24"/>
          <w:szCs w:val="24"/>
        </w:rPr>
        <w:t>.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SimSun" w:hAnsi="Calibri"/>
      <w:color w:val="auto"/>
      <w:sz w:val="22"/>
      <w:szCs w:val="22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Link da Internet"/>
    <w:basedOn w:val="style15"/>
    <w:next w:val="style16"/>
    <w:rPr>
      <w:color w:val="0000FF"/>
      <w:u w:val="single"/>
      <w:lang w:bidi="pt-BR" w:eastAsia="pt-BR" w:val="pt-BR"/>
    </w:rPr>
  </w:style>
  <w:style w:styleId="style17" w:type="paragraph">
    <w:name w:val="Título"/>
    <w:basedOn w:val="style0"/>
    <w:next w:val="style18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18" w:type="paragraph">
    <w:name w:val="Co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2013-12-19T15:26:00.00Z</dcterms:created>
  <dc:creator>Patrícia Melo</dc:creator>
  <cp:lastModifiedBy>Grácia Maria Soares Rosinha</cp:lastModifiedBy>
  <dcterms:modified xsi:type="dcterms:W3CDTF">2013-12-19T15:26:00.00Z</dcterms:modified>
  <cp:revision>2</cp:revision>
</cp:coreProperties>
</file>