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D5" w:rsidRPr="008268D5" w:rsidRDefault="008268D5" w:rsidP="0082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838450" cy="876300"/>
            <wp:effectExtent l="0" t="0" r="0" b="0"/>
            <wp:docPr id="15" name="Imagem 15" descr="CBQ 201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Q 201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D5" w:rsidRPr="008268D5" w:rsidRDefault="008268D5" w:rsidP="008268D5">
      <w:pPr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pt-BR"/>
        </w:rPr>
      </w:pPr>
      <w:r w:rsidRPr="008268D5">
        <w:rPr>
          <w:rFonts w:ascii="Times New Roman" w:eastAsia="Times New Roman" w:hAnsi="Times New Roman" w:cs="Times New Roman"/>
          <w:sz w:val="31"/>
          <w:szCs w:val="31"/>
          <w:lang w:eastAsia="pt-BR"/>
        </w:rPr>
        <w:t>Iniciação Científica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 xml:space="preserve">Perfil Oleaginoso e Comportamento Viscosimétrico da Linhagem de Gergelim SH36 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ISBN 978-85-85905-10-1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Área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Iniciação Científica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Autores</w:t>
      </w:r>
    </w:p>
    <w:p w:rsidR="008268D5" w:rsidRPr="008268D5" w:rsidRDefault="004D28BF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NASCIMENTO FILHO,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W.B.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(IC//EMBRAPA-RR</w:t>
      </w:r>
      <w:proofErr w:type="gram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SMIDERLE,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O.J.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(EMBRAPA-RR</w:t>
      </w:r>
      <w:proofErr w:type="gram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) ;</w:t>
      </w:r>
      <w:proofErr w:type="gram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SOUSA,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R.C.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(EMBRAPA-RR) ; SILVA,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H.E.B.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(DQ/UFRR)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Resumo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deste trabalho foi determinar o perfil oleaginoso e o comportamento viscosimétrico do óleo de gergelim da linhagem SH36 uma vez que pouco se conhece sobre a composição do gergelim do Brasil. O gergelim (</w:t>
      </w:r>
      <w:proofErr w:type="spellStart"/>
      <w:r w:rsidRPr="008268D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Sesamumindicum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L.) é cultivado em vários países como Índia, Sudão, China que contribuem com 60% da produção, apresentando o Brasil uma taxa de produção significante. A maior parte da produção de gergelim é destinada a extração de óleo que é rico em ácidos graxos poli-insaturados que apresentam efeitos benéficos a saúde humana. O teor de óleo (52,0246%) encontrado neste estudo está contido na literatura e a viscosidade do óleo em função do aumento de temperatura apresenta comportamento exponencial caracterizando-o em um fluido newtoniano.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Palavras chaves</w:t>
      </w:r>
    </w:p>
    <w:p w:rsidR="008268D5" w:rsidRPr="008268D5" w:rsidRDefault="008268D5" w:rsidP="008268D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Extração por </w:t>
      </w:r>
      <w:proofErr w:type="spellStart"/>
      <w:r w:rsidRPr="008268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soxhlet</w:t>
      </w:r>
      <w:proofErr w:type="spellEnd"/>
      <w:r w:rsidRPr="008268D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; Óleo de gergelim; Viscosidade Cinemática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Introdução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Pertencente ao gênero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Sesamum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englobando a família das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Pedaliaceae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gergelim possui 36 espécies, sendo sua maioria silvestre (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Antoniassi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al., 2013). A (</w:t>
      </w:r>
      <w:r w:rsidRPr="008268D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S. </w:t>
      </w:r>
      <w:proofErr w:type="spellStart"/>
      <w:r w:rsidRPr="008268D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indicum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é a principal fonte de gergelim utilizada pelo comercio, cultivado em muitos países como Índia, Sudão e China contribuindo com 60% da produção mundial (NAMIKI, 2007;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Elleuch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al., 2007). O Brasil tem uma oscilação em sua produção entre 3.000 a 5.000 toneladas anuais concentradas na região centro-oeste do país (IAC, 2010). O gergelim em sua maior parte é utilizado para extração de óleo que apresenta em sua composição altos teores de ácidos graxos poli-insaturados que são relacionados em diversos trabalhos sobre seus benefícios para saúde humana como antienvelhecimento, redução da taxa de 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colesterol no sangue, atividade anti-hipertensiva e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anticarcinogênica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Antoniassi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al., 2013). Segundo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Brock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al., (2008) há um constante aumento acentuado na demanda de óleos vegetais das mais diversas fontes naturais, tendo suas aplicações em derivados alimentícios. A viscosidade para alimentos líquidos é um importante parâmetro em sua caracterização e na avaliação de sua qualidade e textura (Conceição et al., 2005). Existem poucos estudos referentes ao comportamento viscosimétrico de óleos vegetais e pouco se conhece sobre a composição do gergelim do Brasil e quanto à variabilidade de sua composição e teor de óleo (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Antoniassi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al., 2013;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Brock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, 2008). Diante do exposto o objetivo deste trabalho é avaliar o perfil oleaginoso e o comportamento viscosimétrico do óleo extraído das sementes de gergelim (</w:t>
      </w:r>
      <w:proofErr w:type="spellStart"/>
      <w:r w:rsidRPr="008268D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Sesamumindicum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L.) da linhagem SH36.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Material e métodos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amostras de sementes de Gergelim da linhagem SH36 foram coletadas nos meses de novembro e dezembro de 2013, período seco, em parceria com a Embrapa- RR no campo experimental Água Boa no município de Boa Vista. Após a coleta, as mesmas foram embaladas em sacos de papel, beneficiadas e armazenadas em laboratório a 29±2 °C com umidade relativa (UR 60%). As amostras foram processadas em processador ARNO e passaram por um processo de tamisação onde se obteve uma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granulometria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16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mesh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Esse procedimento foi realizado no Laboratório de Grãos da Universidade Federal de Roraima. Para a obtenção do óleo utilizou-se um extrator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Soxhlet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cartuchos forrados com algodão hidrófilo. Utilizou-se como solvente o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hexano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qual foi aquecido até atingir a sua temperatura de ebulição e de condensação, de tal forma que a amostra pudesse ficar em contato direto com o solvente por aproximadamente 3 horas (VIEIRA, 2006). Após este período a mistura contendo óleo e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hexano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filtrada em sulfato de sódio anidro para retirada da umidade, em seguida passou por um processo de separação por evaporação, em um evaporador rotativo a vácuo, onde o solvente utilizado para a extração foi recuperado e posteriormente reutilizado, obtendo assim o óleo que finalmente foi pesado para o cálculo do rendimento. Para a obtenção do tempo de escoamento do óleo de gergelim utilizou-se um viscosímetro AVS 350 com banho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termostatizado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SL 152/18 e capilar de n° 400. 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Resultado e discussão</w:t>
      </w:r>
    </w:p>
    <w:p w:rsidR="008268D5" w:rsidRPr="008268D5" w:rsidRDefault="008268D5" w:rsidP="008268D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extração por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soxhlet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 um solvente que tem como princípio desengordurar o material, produzindo um resíduo que contem menos de 1% de óleo. Este método pode ser aplicado independente do teor inicial do material a ser utilizado para extração. Na tabela 1 destacam-se os teores de óleo de gergelim. O teor de óleo obtido neste trabalho se encontra em 52,03%, enquanto (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Antoniassi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et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al., 2013) determinou um teor de 55,98% (Barbalha), 49,64% (base úmida) utilizando o mesmo método para extração com éter de petróleo. Segundo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Valeri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Meirelles (1997), a viscosidade cinemática é medida observando- se o tempo que leva um fluido para escoar através dos orifícios de um capilar sob a força da gravidade. Ferreira e colaboradores (2005) destacam a Lei de Newton quanto à viscosidade, na qual se tem uma relação linear, sendo a constante de proporcionalidade, a viscosidade do fluido. Assim todos os fluidos que seguem este comportamento são denominados fluidos newtonianos. Com o aumento da temperatura verificou-se que a viscosidade do óleo diminui-se apresentando tendência exponencial. Este estudo colabora para a caracterização do óleo de gergelim da linhagem SH36, agregando grande interesse econômico, científico e tecnológico. </w:t>
      </w:r>
    </w:p>
    <w:p w:rsidR="008268D5" w:rsidRDefault="008268D5" w:rsidP="0082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68D5" w:rsidRDefault="008268D5" w:rsidP="0082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68D5" w:rsidRPr="008268D5" w:rsidRDefault="008268D5" w:rsidP="0082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Tabela 1. Rendimento do óleo de Gergelim da linhagem SH36</w:t>
      </w:r>
    </w:p>
    <w:p w:rsidR="008268D5" w:rsidRPr="008268D5" w:rsidRDefault="008268D5" w:rsidP="00826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76950" cy="2638425"/>
            <wp:effectExtent l="0" t="0" r="0" b="9525"/>
            <wp:docPr id="14" name="Imagem 14" descr="http://www.abq.org.br/cbq/2014/trabalhos/13/imagens/5191-5a95558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q.org.br/cbq/2014/trabalhos/13/imagens/5191-5a955588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268D5" w:rsidRPr="008268D5" w:rsidRDefault="008268D5" w:rsidP="00826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 1. Viscosidade Cinemática do óleo de Gergelim da linhagem SH36</w:t>
      </w:r>
    </w:p>
    <w:p w:rsidR="008268D5" w:rsidRPr="008268D5" w:rsidRDefault="008268D5" w:rsidP="008268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76950" cy="3019425"/>
            <wp:effectExtent l="0" t="0" r="0" b="9525"/>
            <wp:docPr id="13" name="Imagem 13" descr="http://www.abq.org.br/cbq/2014/trabalhos/13/imagens/5191-191d0f46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q.org.br/cbq/2014/trabalhos/13/imagens/5191-191d0f466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Conclusões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perfil oleaginoso apresentou-se dentro dos resultados contidos na literatura. Definiu-se pela viscosidade cinemática o comportamento deste óleo que em função do aumento de temperatura tem uma diminuição de sua viscosidade, sendo classificado com um fluido newtoniano. 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Agradecimentos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CNPq, UFRR e Embrapa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Referências</w:t>
      </w:r>
    </w:p>
    <w:p w:rsidR="008268D5" w:rsidRPr="008268D5" w:rsidRDefault="008268D5" w:rsidP="0082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ANTONIASSI, R.; ARRIEL, N.H.C.; GONÇALVES, E.B.; FREITAS, S.D.; ZONOTTO, D.L.; BIZZO, H.B. Influência das condições de cultivo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composição da semente e do óleo de gergelim. Revista Ceres, Viçosa, n° 3, 301-310, 2013.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BROCK, J.; NOGUEIRA, M.R.; ZAKRZEVSKI, C.; CORAZZA, F.C.; CORAZZA, M.C.; OLIVEIRA, J.V. Determinação experimental da viscosidade e condutividade térmica de óleos vegetais. Ciência e Tecnologia de Alimentos, Campinas, n°3, 564-570, 2008.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CONCEIÇÃO, M. M.; CANDEIA, R. A.; DANTAS, H. J; SOLEDADE, L.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E.B.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SOUZA,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A.G.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RheologicalBehaviorof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Castor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Oil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Biodiesel. </w:t>
      </w:r>
      <w:r w:rsidRPr="008268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Energy &amp; Fuels, n° 5, 2185-2188, 2005.</w:t>
      </w:r>
      <w:r w:rsidRPr="008268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ELLEUCH M.; BESBES, S.; ROISEUX, O.; BLECKER, C.; ATTIA, H. Quality characteristics of sesame seeds and by-products.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FoodChemistry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, n° 2, 641-650, 2007.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FERREIRA, E. E.; BRANDÃO. P.R.G.; KLEIN. B.; PERES, A.E.C. Reologia de suspenção minerais: uma revisão. REM: Revista Escola de Minas, Ouro Preto, n°1, 83-87, 2005.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IAC - Instituto Agronômico de Campinas (2010) Cultivares.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Culturade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gergelim. Disponível em: &lt;http://www.iac.br/cultivares/inicio/Folders/Gergelim/IACOuro.htm&gt;. Acessado em: 18 de julho de 2014.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NAMIKI, M.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NutraceuticalFunctionsofSesame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A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Review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8268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Critical Reviews in Food Science and Nutrition, n°7, 651-673, 2007.</w:t>
      </w:r>
      <w:r w:rsidRPr="008268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8268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 xml:space="preserve">VALERI, D.; MEIRELLES, A. J. A. Viscosities of fatty acids, triglycerides and their binary mixtures.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Journalof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American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OilChemistsSociety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, n° 10, 1221-1226, 1997.</w:t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VIEIRA, M. A. R. caracterização dos ácidos graxos das sementes e compostos voláteis dos frutos de espécies do gênero passiflora. Dissertação de Mestrado. Faculdade de Ciências </w:t>
      </w:r>
      <w:proofErr w:type="spellStart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Agronomicas</w:t>
      </w:r>
      <w:proofErr w:type="spellEnd"/>
      <w:r w:rsidRPr="008268D5">
        <w:rPr>
          <w:rFonts w:ascii="Times New Roman" w:eastAsia="Times New Roman" w:hAnsi="Times New Roman" w:cs="Times New Roman"/>
          <w:sz w:val="24"/>
          <w:szCs w:val="24"/>
          <w:lang w:eastAsia="pt-BR"/>
        </w:rPr>
        <w:t>. Botucatu, SP, 2006.</w:t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Patrocinadores</w:t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12" name="Imagem 12" descr="CNPQ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NPQ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11" name="Imagem 11" descr="CAPES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E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10" name="Imagem 10" descr="CRQ15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Q15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9" name="Imagem 9" descr="PROEX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EX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8" name="Imagem 8" descr="ALLCROM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LCROM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Apoio</w:t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7" name="Imagem 7" descr="Natal Convention Bureau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tal Convention Bureau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6" name="Imagem 6" descr="Instituto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ituto de Químic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5" name="Imagem 5" descr="IFRN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FRN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4" name="Imagem 4" descr="UFERSA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FERSA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3" name="Imagem 3" descr="UFRN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FRN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Realização</w:t>
      </w:r>
      <w:r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809625" cy="809625"/>
            <wp:effectExtent l="0" t="0" r="9525" b="9525"/>
            <wp:docPr id="2" name="Imagem 2" descr="ABQ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BQ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D5" w:rsidRPr="008268D5" w:rsidRDefault="008268D5" w:rsidP="008268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268D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Sobre o CBQ</w:t>
      </w:r>
    </w:p>
    <w:p w:rsidR="00D54097" w:rsidRDefault="009D3436" w:rsidP="008268D5">
      <w:pPr>
        <w:spacing w:after="0" w:line="240" w:lineRule="auto"/>
      </w:pPr>
      <w:hyperlink r:id="rId30" w:history="1">
        <w:r w:rsidR="008268D5" w:rsidRPr="008268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ABQ - ASSOCIAÇÃO BRASILEIRA DE QUÍMICA</w:t>
        </w:r>
      </w:hyperlink>
      <w:r w:rsidR="008268D5" w:rsidRPr="008268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428625" cy="142875"/>
            <wp:effectExtent l="0" t="0" r="9525" b="9525"/>
            <wp:docPr id="1" name="Imagem 1" descr="Criação de Sites, Hospedagem de Sites, Registro de Dominios, Manutenção de Sites">
              <a:hlinkClick xmlns:a="http://schemas.openxmlformats.org/drawingml/2006/main" r:id="rId31" tgtFrame="&quot;_blank&quot;" tooltip="&quot;Criação de Sites, Hospedagem de Sites, Registro de Dominios, Manutenção de Sit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riação de Sites, Hospedagem de Sites, Registro de Dominios, Manutenção de Sites">
                      <a:hlinkClick r:id="rId31" tgtFrame="&quot;_blank&quot;" tooltip="&quot;Criação de Sites, Hospedagem de Sites, Registro de Dominios, Manutenção de Sit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097" w:rsidSect="008268D5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Device Font 10cp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079"/>
    <w:multiLevelType w:val="multilevel"/>
    <w:tmpl w:val="5864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8D5"/>
    <w:rsid w:val="00062066"/>
    <w:rsid w:val="004D28BF"/>
    <w:rsid w:val="008268D5"/>
    <w:rsid w:val="008A59F0"/>
    <w:rsid w:val="0096744D"/>
    <w:rsid w:val="009D3436"/>
    <w:rsid w:val="00A4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4D"/>
  </w:style>
  <w:style w:type="paragraph" w:styleId="Ttulo1">
    <w:name w:val="heading 1"/>
    <w:basedOn w:val="Normal"/>
    <w:link w:val="Ttulo1Char"/>
    <w:uiPriority w:val="9"/>
    <w:qFormat/>
    <w:rsid w:val="00826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26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26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8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268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268D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268D5"/>
    <w:rPr>
      <w:color w:val="0000FF"/>
      <w:u w:val="single"/>
    </w:rPr>
  </w:style>
  <w:style w:type="character" w:customStyle="1" w:styleId="label">
    <w:name w:val="label"/>
    <w:basedOn w:val="Fontepargpadro"/>
    <w:rsid w:val="008268D5"/>
  </w:style>
  <w:style w:type="paragraph" w:styleId="NormalWeb">
    <w:name w:val="Normal (Web)"/>
    <w:basedOn w:val="Normal"/>
    <w:uiPriority w:val="99"/>
    <w:semiHidden/>
    <w:unhideWhenUsed/>
    <w:rsid w:val="00826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268D5"/>
    <w:rPr>
      <w:i/>
      <w:iCs/>
    </w:rPr>
  </w:style>
  <w:style w:type="character" w:customStyle="1" w:styleId="info-item">
    <w:name w:val="info-item"/>
    <w:basedOn w:val="Fontepargpadro"/>
    <w:rsid w:val="008268D5"/>
  </w:style>
  <w:style w:type="paragraph" w:styleId="Textodebalo">
    <w:name w:val="Balloon Text"/>
    <w:basedOn w:val="Normal"/>
    <w:link w:val="TextodebaloChar"/>
    <w:uiPriority w:val="99"/>
    <w:semiHidden/>
    <w:unhideWhenUsed/>
    <w:rsid w:val="00A4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5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6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2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67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rq15.org.br/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www.ufrn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allcrom.com.br/" TargetMode="External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apes.gov.br/" TargetMode="External"/><Relationship Id="rId24" Type="http://schemas.openxmlformats.org/officeDocument/2006/relationships/hyperlink" Target="http://www2.ufersa.edu.br/portal/" TargetMode="External"/><Relationship Id="rId32" Type="http://schemas.openxmlformats.org/officeDocument/2006/relationships/image" Target="media/image15.gif"/><Relationship Id="rId5" Type="http://schemas.openxmlformats.org/officeDocument/2006/relationships/hyperlink" Target="http://www.abq.org.br/cbq/2014/trabalhos/13/index.html" TargetMode="External"/><Relationship Id="rId15" Type="http://schemas.openxmlformats.org/officeDocument/2006/relationships/hyperlink" Target="http://www.proex.ufrn.br/" TargetMode="External"/><Relationship Id="rId23" Type="http://schemas.openxmlformats.org/officeDocument/2006/relationships/image" Target="media/image11.png"/><Relationship Id="rId28" Type="http://schemas.openxmlformats.org/officeDocument/2006/relationships/hyperlink" Target="http://www.abq.org.br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natalcvb.com.br/" TargetMode="External"/><Relationship Id="rId31" Type="http://schemas.openxmlformats.org/officeDocument/2006/relationships/hyperlink" Target="http://www.jgi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pq.br/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portal.ifrn.edu.br/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://www.abq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Setor de Informática - SIN</cp:lastModifiedBy>
  <cp:revision>3</cp:revision>
  <dcterms:created xsi:type="dcterms:W3CDTF">2015-01-30T17:59:00Z</dcterms:created>
  <dcterms:modified xsi:type="dcterms:W3CDTF">2015-02-02T13:12:00Z</dcterms:modified>
</cp:coreProperties>
</file>