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68" w:rsidRDefault="00827A68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4"/>
          <w:szCs w:val="14"/>
        </w:rPr>
      </w:pPr>
      <w:r>
        <w:rPr>
          <w:rFonts w:ascii="Calibri-Italic" w:hAnsi="Calibri-Italic" w:cs="Calibri-Italic"/>
          <w:i/>
          <w:iCs/>
          <w:sz w:val="14"/>
          <w:szCs w:val="14"/>
        </w:rPr>
        <w:t xml:space="preserve">Memorias del IV Congreso Boliviano de Ecología - 2014, Santa Cruz </w:t>
      </w:r>
      <w:r>
        <w:rPr>
          <w:rFonts w:ascii="Calibri-Italic" w:hAnsi="Calibri-Italic" w:cs="Calibri-Italic"/>
          <w:i/>
          <w:iCs/>
          <w:sz w:val="14"/>
          <w:szCs w:val="14"/>
        </w:rPr>
        <w:t>–</w:t>
      </w:r>
      <w:r>
        <w:rPr>
          <w:rFonts w:ascii="Calibri-Italic" w:hAnsi="Calibri-Italic" w:cs="Calibri-Italic"/>
          <w:i/>
          <w:iCs/>
          <w:sz w:val="14"/>
          <w:szCs w:val="14"/>
        </w:rPr>
        <w:t xml:space="preserve"> Bolivia</w:t>
      </w:r>
    </w:p>
    <w:p w:rsidR="0025281D" w:rsidRDefault="0025281D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4"/>
          <w:szCs w:val="14"/>
        </w:rPr>
      </w:pPr>
    </w:p>
    <w:p w:rsidR="00827A68" w:rsidRDefault="00827A68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4"/>
          <w:szCs w:val="14"/>
        </w:rPr>
      </w:pPr>
    </w:p>
    <w:p w:rsidR="00827A68" w:rsidRDefault="00827A68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Comercio de cebo vivo en el Pantanal de Mato Grosso</w:t>
      </w:r>
    </w:p>
    <w:p w:rsidR="00827A68" w:rsidRDefault="00827A68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do Sul, Brasil</w:t>
      </w:r>
    </w:p>
    <w:p w:rsidR="0025281D" w:rsidRDefault="0025281D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bookmarkStart w:id="0" w:name="_GoBack"/>
    </w:p>
    <w:bookmarkEnd w:id="0"/>
    <w:p w:rsidR="00827A68" w:rsidRDefault="00827A68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3"/>
          <w:szCs w:val="13"/>
        </w:rPr>
      </w:pPr>
      <w:r>
        <w:rPr>
          <w:rFonts w:ascii="Calibri-Italic" w:hAnsi="Calibri-Italic" w:cs="Calibri-Italic"/>
          <w:i/>
          <w:iCs/>
        </w:rPr>
        <w:t xml:space="preserve">Ribeiro, </w:t>
      </w:r>
      <w:r w:rsidR="00CC1E00">
        <w:rPr>
          <w:rFonts w:ascii="Calibri-Italic" w:hAnsi="Calibri-Italic" w:cs="Calibri-Italic"/>
          <w:i/>
          <w:iCs/>
        </w:rPr>
        <w:t>Lincoln</w:t>
      </w:r>
      <w:r>
        <w:rPr>
          <w:rFonts w:ascii="Calibri-Italic" w:hAnsi="Calibri-Italic" w:cs="Calibri-Italic"/>
          <w:i/>
          <w:iCs/>
        </w:rPr>
        <w:t xml:space="preserve"> Eder</w:t>
      </w:r>
      <w:r>
        <w:rPr>
          <w:rFonts w:ascii="Calibri-Italic" w:hAnsi="Calibri-Italic" w:cs="Calibri-Italic"/>
          <w:i/>
          <w:iCs/>
          <w:sz w:val="13"/>
          <w:szCs w:val="13"/>
        </w:rPr>
        <w:t xml:space="preserve">1,2,3 </w:t>
      </w:r>
      <w:r>
        <w:rPr>
          <w:rFonts w:ascii="Calibri-Italic" w:hAnsi="Calibri-Italic" w:cs="Calibri-Italic"/>
          <w:i/>
          <w:iCs/>
        </w:rPr>
        <w:t>y Catella, Agostinho Carlos</w:t>
      </w:r>
      <w:r>
        <w:rPr>
          <w:rFonts w:ascii="Calibri-Italic" w:hAnsi="Calibri-Italic" w:cs="Calibri-Italic"/>
          <w:i/>
          <w:iCs/>
          <w:sz w:val="13"/>
          <w:szCs w:val="13"/>
        </w:rPr>
        <w:t>2,4</w:t>
      </w:r>
    </w:p>
    <w:p w:rsidR="0025281D" w:rsidRDefault="0025281D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sz w:val="13"/>
          <w:szCs w:val="13"/>
        </w:rPr>
      </w:pPr>
    </w:p>
    <w:p w:rsidR="00827A68" w:rsidRDefault="00827A68" w:rsidP="00827A68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13"/>
          <w:szCs w:val="13"/>
        </w:rPr>
      </w:pPr>
    </w:p>
    <w:p w:rsidR="00827A68" w:rsidRDefault="00827A68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9"/>
          <w:szCs w:val="9"/>
        </w:rPr>
        <w:t>1</w:t>
      </w:r>
      <w:r>
        <w:rPr>
          <w:rFonts w:ascii="Calibri" w:hAnsi="Calibri" w:cs="Calibri"/>
          <w:sz w:val="16"/>
          <w:szCs w:val="16"/>
        </w:rPr>
        <w:t>Universidade Federal de Mato Grosso do Sul - CPAN, Caixa Postal 252, CEP 79.304-902, Corumbá, MS, Brasil,</w:t>
      </w:r>
    </w:p>
    <w:p w:rsidR="00827A68" w:rsidRDefault="00827A68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*Email: linconeder@gmail.com</w:t>
      </w:r>
    </w:p>
    <w:p w:rsidR="00827A68" w:rsidRDefault="00827A68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9"/>
          <w:szCs w:val="9"/>
        </w:rPr>
        <w:t>2</w:t>
      </w:r>
      <w:r>
        <w:rPr>
          <w:rFonts w:ascii="Calibri" w:hAnsi="Calibri" w:cs="Calibri"/>
          <w:sz w:val="16"/>
          <w:szCs w:val="16"/>
        </w:rPr>
        <w:t>Projeto TUVIRA - Embrapa Pantanal</w:t>
      </w:r>
    </w:p>
    <w:p w:rsidR="00827A68" w:rsidRDefault="00827A68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9"/>
          <w:szCs w:val="9"/>
        </w:rPr>
        <w:t>3</w:t>
      </w:r>
      <w:r>
        <w:rPr>
          <w:rFonts w:ascii="Calibri" w:hAnsi="Calibri" w:cs="Calibri"/>
          <w:sz w:val="16"/>
          <w:szCs w:val="16"/>
        </w:rPr>
        <w:t>Beca de iniciación científica de estúdio - CNPq 4Embrapa Pantanal, Caixa Postal 109, CEP 79.320-900, Corumbá,</w:t>
      </w:r>
    </w:p>
    <w:p w:rsidR="00827A68" w:rsidRDefault="00827A68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MS, Brasil</w:t>
      </w:r>
    </w:p>
    <w:p w:rsidR="0025281D" w:rsidRDefault="0025281D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25281D" w:rsidRDefault="0025281D" w:rsidP="00827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763668" w:rsidRDefault="00827A68" w:rsidP="00763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La Cuenca del Alto </w:t>
      </w:r>
      <w:r w:rsidR="00E06843">
        <w:rPr>
          <w:rFonts w:ascii="Calibri" w:hAnsi="Calibri" w:cs="Calibri"/>
          <w:sz w:val="20"/>
          <w:szCs w:val="20"/>
        </w:rPr>
        <w:t>Rio</w:t>
      </w:r>
      <w:r>
        <w:rPr>
          <w:rFonts w:ascii="Calibri" w:hAnsi="Calibri" w:cs="Calibri"/>
          <w:sz w:val="20"/>
          <w:szCs w:val="20"/>
        </w:rPr>
        <w:t xml:space="preserve"> Paraguay tiene una superficie de 496.000 km2 en los territorios de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Brasil, Paraguay y Bolivia. El Pantanal corresponde a la planicie inundable de la cuenca, donde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las condiciones naturales favorecen los recursos pesqueros. Por esta razón, la pesca se convirtió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en una importante actividad socioeconómica y ambiental, realizada en las modalidades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artesanal, deportiva y subsistencia. En función de la demanda de la pesca deportiva, muchos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pescadores artesanales se especializan en la captura de cebo vivo (carnada viva), que se </w:t>
      </w:r>
      <w:r w:rsidR="00763668">
        <w:rPr>
          <w:rFonts w:ascii="Calibri" w:hAnsi="Calibri" w:cs="Calibri"/>
          <w:sz w:val="20"/>
          <w:szCs w:val="20"/>
        </w:rPr>
        <w:t xml:space="preserve">há </w:t>
      </w:r>
      <w:r>
        <w:rPr>
          <w:rFonts w:ascii="Calibri" w:hAnsi="Calibri" w:cs="Calibri"/>
          <w:sz w:val="20"/>
          <w:szCs w:val="20"/>
        </w:rPr>
        <w:t>convertido en una importante fuente de ingresos. Basada en registro llevado a cabo por el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“Sistema de Controle da Pesca de Mato Grosso do Sul - SCPESCA/MS”, el presente </w:t>
      </w:r>
      <w:r w:rsidR="00763668">
        <w:rPr>
          <w:rFonts w:ascii="Calibri" w:hAnsi="Calibri" w:cs="Calibri"/>
          <w:sz w:val="20"/>
          <w:szCs w:val="20"/>
        </w:rPr>
        <w:t xml:space="preserve">estúdio </w:t>
      </w:r>
      <w:r>
        <w:rPr>
          <w:rFonts w:ascii="Calibri" w:hAnsi="Calibri" w:cs="Calibri"/>
          <w:sz w:val="20"/>
          <w:szCs w:val="20"/>
        </w:rPr>
        <w:t>tuvo como objetivo describir y cuantificar el comercio intermunicipal de venta al por mayor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 cebo vivo en 2012. Contodo, el comercio local no se registra en el Sistema. En este año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 registraron 856 transacciones de negocios, que ascendieron a un total de 4,04 millones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 ejemplares de los cebos vivos. El número de cebo vivo por transacción comercial fue de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entre 53 a 50000 ejemplares, con una media de 4724 (d.e.=4793) y una mediana de 3000.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 nombró a un total de 14 tipos de cebos vivos, incluyendo peces, cangrejos y moluscos,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destacando: tuviras, </w:t>
      </w:r>
      <w:r>
        <w:rPr>
          <w:rFonts w:ascii="Calibri-Italic" w:hAnsi="Calibri-Italic" w:cs="Calibri-Italic"/>
          <w:i/>
          <w:iCs/>
          <w:sz w:val="20"/>
          <w:szCs w:val="20"/>
        </w:rPr>
        <w:t xml:space="preserve">Gymnotus </w:t>
      </w:r>
      <w:r>
        <w:rPr>
          <w:rFonts w:ascii="Calibri" w:hAnsi="Calibri" w:cs="Calibri"/>
          <w:sz w:val="20"/>
          <w:szCs w:val="20"/>
        </w:rPr>
        <w:t>spp. (76,8%), cangrejos, Trichodactylidae (13%), mussum /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pirambóia, </w:t>
      </w:r>
      <w:r>
        <w:rPr>
          <w:rFonts w:ascii="Calibri-Italic" w:hAnsi="Calibri-Italic" w:cs="Calibri-Italic"/>
          <w:i/>
          <w:iCs/>
          <w:sz w:val="20"/>
          <w:szCs w:val="20"/>
        </w:rPr>
        <w:t xml:space="preserve">Synbranchusmarmoratus </w:t>
      </w:r>
      <w:r>
        <w:rPr>
          <w:rFonts w:ascii="Calibri" w:hAnsi="Calibri" w:cs="Calibri"/>
          <w:sz w:val="20"/>
          <w:szCs w:val="20"/>
        </w:rPr>
        <w:t xml:space="preserve">y </w:t>
      </w:r>
      <w:r>
        <w:rPr>
          <w:rFonts w:ascii="Calibri-Italic" w:hAnsi="Calibri-Italic" w:cs="Calibri-Italic"/>
          <w:i/>
          <w:iCs/>
          <w:sz w:val="20"/>
          <w:szCs w:val="20"/>
        </w:rPr>
        <w:t xml:space="preserve">Lepidosirenparadoxa </w:t>
      </w:r>
      <w:r>
        <w:rPr>
          <w:rFonts w:ascii="Calibri" w:hAnsi="Calibri" w:cs="Calibri"/>
          <w:sz w:val="20"/>
          <w:szCs w:val="20"/>
        </w:rPr>
        <w:t>(3,1%), jejum, Erythrinidae (2,5%)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y cascudo, Callichtyidae (1,8%). Se observó que la cantidad de cebos comercializados varió a lo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largo del año, con picos en abril (730 mil) y en septiembre/octubre (500 mil), y los valores más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bajos se dieron en febrero (198 mil) y julio (242 mil). La mayoría de los cebos se comercializan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dentro del propio Estado (83%) y cantidades menores siguieron en su mayoría a los estados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vecinos, donde la pesca deportiva es también significativa: Mato Grosso (2,2%), Goiás (6,0%)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y Parana (3,1%). Dado el volumen de ventas y la importancia de la actividad, tal información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puede contribuir a la gestión de la pesca y el comercio de los cebos vivos y para la conservación</w:t>
      </w:r>
      <w:r w:rsidR="00763668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 las especies en la región.</w:t>
      </w:r>
    </w:p>
    <w:p w:rsidR="00763668" w:rsidRDefault="00763668" w:rsidP="0076366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89786D" w:rsidRPr="00827A68" w:rsidRDefault="00827A68" w:rsidP="0076366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Palabras clave: </w:t>
      </w:r>
      <w:r>
        <w:rPr>
          <w:rFonts w:ascii="Calibri" w:hAnsi="Calibri" w:cs="Calibri"/>
          <w:sz w:val="20"/>
          <w:szCs w:val="20"/>
        </w:rPr>
        <w:t>Carnada viva, conservación, pescadores, pesca.</w:t>
      </w:r>
      <w:r>
        <w:t xml:space="preserve"> </w:t>
      </w:r>
    </w:p>
    <w:sectPr w:rsidR="0089786D" w:rsidRPr="00827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56"/>
    <w:rsid w:val="0025281D"/>
    <w:rsid w:val="00763668"/>
    <w:rsid w:val="00827A68"/>
    <w:rsid w:val="0089786D"/>
    <w:rsid w:val="00904656"/>
    <w:rsid w:val="00CC1E00"/>
    <w:rsid w:val="00E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77FD1-0272-4E3D-B179-C986F940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2014-06-10T12:02:00Z</dcterms:created>
  <dcterms:modified xsi:type="dcterms:W3CDTF">2014-06-10T13:01:00Z</dcterms:modified>
</cp:coreProperties>
</file>